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D6A00A" w14:textId="42AB8C02" w:rsidR="001443ED" w:rsidRDefault="00BF195E" w:rsidP="004B7910">
      <w:pPr>
        <w:spacing w:after="0" w:line="240" w:lineRule="auto"/>
        <w:jc w:val="center"/>
        <w:rPr>
          <w:rFonts w:ascii="Arial" w:hAnsi="Arial" w:cs="Arial"/>
          <w:b/>
          <w:sz w:val="24"/>
          <w:szCs w:val="24"/>
          <w:lang w:val="es-ES_tradnl"/>
        </w:rPr>
      </w:pPr>
      <w:bookmarkStart w:id="0" w:name="_GoBack"/>
      <w:bookmarkEnd w:id="0"/>
      <w:r>
        <w:rPr>
          <w:rFonts w:ascii="Arial" w:hAnsi="Arial" w:cs="Arial"/>
          <w:b/>
          <w:sz w:val="24"/>
          <w:szCs w:val="24"/>
          <w:lang w:val="es-ES_tradnl"/>
        </w:rPr>
        <w:t>HACIA LA VALORIZACIÓN DE BIO-RESIDUOS: LA CÁSCARA DE MANÍ COMO MATERIA PRIMA PARA LA OBTENCIÓN DE HIDROCARBUROS</w:t>
      </w:r>
      <w:r w:rsidR="004B7910">
        <w:rPr>
          <w:rFonts w:ascii="Arial" w:hAnsi="Arial" w:cs="Arial"/>
          <w:b/>
          <w:sz w:val="24"/>
          <w:szCs w:val="24"/>
          <w:lang w:val="es-ES_tradnl"/>
        </w:rPr>
        <w:t>.</w:t>
      </w:r>
    </w:p>
    <w:p w14:paraId="49C68DED" w14:textId="07D66ECC" w:rsidR="004B7910" w:rsidRPr="00512936" w:rsidRDefault="004B7910" w:rsidP="004B7910">
      <w:pPr>
        <w:spacing w:after="0" w:line="240" w:lineRule="auto"/>
        <w:jc w:val="center"/>
        <w:rPr>
          <w:rFonts w:ascii="Arial" w:hAnsi="Arial" w:cs="Arial"/>
          <w:sz w:val="16"/>
          <w:szCs w:val="16"/>
          <w:vertAlign w:val="superscript"/>
          <w:lang w:val="es-ES_tradnl"/>
        </w:rPr>
      </w:pPr>
      <w:proofErr w:type="spellStart"/>
      <w:r>
        <w:rPr>
          <w:rFonts w:ascii="Arial" w:hAnsi="Arial" w:cs="Arial"/>
          <w:sz w:val="16"/>
          <w:szCs w:val="16"/>
          <w:lang w:val="es-ES_tradnl"/>
        </w:rPr>
        <w:t>Fermanelli</w:t>
      </w:r>
      <w:proofErr w:type="spellEnd"/>
      <w:r>
        <w:rPr>
          <w:rFonts w:ascii="Arial" w:hAnsi="Arial" w:cs="Arial"/>
          <w:sz w:val="16"/>
          <w:szCs w:val="16"/>
          <w:lang w:val="es-ES_tradnl"/>
        </w:rPr>
        <w:t xml:space="preserve">, </w:t>
      </w:r>
      <w:proofErr w:type="spellStart"/>
      <w:r>
        <w:rPr>
          <w:rFonts w:ascii="Arial" w:hAnsi="Arial" w:cs="Arial"/>
          <w:sz w:val="16"/>
          <w:szCs w:val="16"/>
          <w:lang w:val="es-ES_tradnl"/>
        </w:rPr>
        <w:t>C.S.</w:t>
      </w:r>
      <w:r w:rsidR="00512936">
        <w:rPr>
          <w:rFonts w:ascii="Arial" w:hAnsi="Arial" w:cs="Arial"/>
          <w:sz w:val="16"/>
          <w:szCs w:val="16"/>
          <w:vertAlign w:val="superscript"/>
          <w:lang w:val="es-ES_tradnl"/>
        </w:rPr>
        <w:t>a</w:t>
      </w:r>
      <w:proofErr w:type="spellEnd"/>
      <w:r w:rsidR="002D7DB9">
        <w:rPr>
          <w:rFonts w:ascii="Arial" w:hAnsi="Arial" w:cs="Arial"/>
          <w:sz w:val="16"/>
          <w:szCs w:val="16"/>
          <w:lang w:val="es-ES_tradnl"/>
        </w:rPr>
        <w:t>;</w:t>
      </w:r>
      <w:r w:rsidR="009C5A56">
        <w:rPr>
          <w:rFonts w:ascii="Arial" w:hAnsi="Arial" w:cs="Arial"/>
          <w:sz w:val="16"/>
          <w:szCs w:val="16"/>
          <w:lang w:val="es-ES_tradnl"/>
        </w:rPr>
        <w:t xml:space="preserve"> </w:t>
      </w:r>
      <w:proofErr w:type="spellStart"/>
      <w:r w:rsidR="00B84A49">
        <w:rPr>
          <w:rFonts w:ascii="Arial" w:hAnsi="Arial" w:cs="Arial"/>
          <w:sz w:val="16"/>
          <w:szCs w:val="16"/>
          <w:lang w:val="es-ES_tradnl"/>
        </w:rPr>
        <w:t>Diguilio</w:t>
      </w:r>
      <w:proofErr w:type="spellEnd"/>
      <w:r w:rsidR="009C5A56">
        <w:rPr>
          <w:rFonts w:ascii="Arial" w:hAnsi="Arial" w:cs="Arial"/>
          <w:sz w:val="16"/>
          <w:szCs w:val="16"/>
          <w:lang w:val="es-ES_tradnl"/>
        </w:rPr>
        <w:t>.</w:t>
      </w:r>
      <w:r w:rsidR="00B84A49">
        <w:rPr>
          <w:rFonts w:ascii="Arial" w:hAnsi="Arial" w:cs="Arial"/>
          <w:sz w:val="16"/>
          <w:szCs w:val="16"/>
          <w:lang w:val="es-ES_tradnl"/>
        </w:rPr>
        <w:t xml:space="preserve"> </w:t>
      </w:r>
      <w:proofErr w:type="spellStart"/>
      <w:r w:rsidR="00B84A49">
        <w:rPr>
          <w:rFonts w:ascii="Arial" w:hAnsi="Arial" w:cs="Arial"/>
          <w:sz w:val="16"/>
          <w:szCs w:val="16"/>
          <w:lang w:val="es-ES_tradnl"/>
        </w:rPr>
        <w:t>E.</w:t>
      </w:r>
      <w:r w:rsidR="00512936">
        <w:rPr>
          <w:rFonts w:ascii="Arial" w:hAnsi="Arial" w:cs="Arial"/>
          <w:sz w:val="16"/>
          <w:szCs w:val="16"/>
          <w:vertAlign w:val="superscript"/>
          <w:lang w:val="es-ES_tradnl"/>
        </w:rPr>
        <w:t>b</w:t>
      </w:r>
      <w:proofErr w:type="spellEnd"/>
      <w:r w:rsidR="009C5A56">
        <w:rPr>
          <w:rFonts w:ascii="Arial" w:hAnsi="Arial" w:cs="Arial"/>
          <w:sz w:val="16"/>
          <w:szCs w:val="16"/>
          <w:lang w:val="es-ES_tradnl"/>
        </w:rPr>
        <w:t>;</w:t>
      </w:r>
      <w:r w:rsidR="002D7DB9">
        <w:rPr>
          <w:rFonts w:ascii="Arial" w:hAnsi="Arial" w:cs="Arial"/>
          <w:sz w:val="16"/>
          <w:szCs w:val="16"/>
          <w:lang w:val="es-ES_tradnl"/>
        </w:rPr>
        <w:t xml:space="preserve"> </w:t>
      </w:r>
      <w:r w:rsidR="00630F8B">
        <w:rPr>
          <w:rFonts w:ascii="Arial" w:hAnsi="Arial" w:cs="Arial"/>
          <w:sz w:val="16"/>
          <w:szCs w:val="16"/>
          <w:lang w:val="es-ES_tradnl"/>
        </w:rPr>
        <w:t xml:space="preserve">Vargas Gil, </w:t>
      </w:r>
      <w:proofErr w:type="spellStart"/>
      <w:r w:rsidR="00630F8B">
        <w:rPr>
          <w:rFonts w:ascii="Arial" w:hAnsi="Arial" w:cs="Arial"/>
          <w:sz w:val="16"/>
          <w:szCs w:val="16"/>
          <w:lang w:val="es-ES_tradnl"/>
        </w:rPr>
        <w:t>S.</w:t>
      </w:r>
      <w:r w:rsidR="00512936">
        <w:rPr>
          <w:rFonts w:ascii="Arial" w:hAnsi="Arial" w:cs="Arial"/>
          <w:sz w:val="16"/>
          <w:szCs w:val="16"/>
          <w:vertAlign w:val="superscript"/>
          <w:lang w:val="es-ES_tradnl"/>
        </w:rPr>
        <w:t>a</w:t>
      </w:r>
      <w:proofErr w:type="spellEnd"/>
      <w:r w:rsidR="00630F8B">
        <w:rPr>
          <w:rFonts w:ascii="Arial" w:hAnsi="Arial" w:cs="Arial"/>
          <w:sz w:val="16"/>
          <w:szCs w:val="16"/>
          <w:lang w:val="es-ES_tradnl"/>
        </w:rPr>
        <w:t xml:space="preserve">; </w:t>
      </w:r>
      <w:proofErr w:type="spellStart"/>
      <w:r w:rsidR="002D7DB9">
        <w:rPr>
          <w:rFonts w:ascii="Arial" w:hAnsi="Arial" w:cs="Arial"/>
          <w:sz w:val="16"/>
          <w:szCs w:val="16"/>
          <w:lang w:val="es-ES_tradnl"/>
        </w:rPr>
        <w:t>Pierella</w:t>
      </w:r>
      <w:proofErr w:type="spellEnd"/>
      <w:r w:rsidR="002D7DB9">
        <w:rPr>
          <w:rFonts w:ascii="Arial" w:hAnsi="Arial" w:cs="Arial"/>
          <w:sz w:val="16"/>
          <w:szCs w:val="16"/>
          <w:lang w:val="es-ES_tradnl"/>
        </w:rPr>
        <w:t xml:space="preserve">, </w:t>
      </w:r>
      <w:proofErr w:type="spellStart"/>
      <w:r w:rsidR="002D7DB9">
        <w:rPr>
          <w:rFonts w:ascii="Arial" w:hAnsi="Arial" w:cs="Arial"/>
          <w:sz w:val="16"/>
          <w:szCs w:val="16"/>
          <w:lang w:val="es-ES_tradnl"/>
        </w:rPr>
        <w:t>L.</w:t>
      </w:r>
      <w:r w:rsidR="00630F8B">
        <w:rPr>
          <w:rFonts w:ascii="Arial" w:hAnsi="Arial" w:cs="Arial"/>
          <w:sz w:val="16"/>
          <w:szCs w:val="16"/>
          <w:lang w:val="es-ES_tradnl"/>
        </w:rPr>
        <w:t>B.</w:t>
      </w:r>
      <w:r w:rsidR="00512936">
        <w:rPr>
          <w:rFonts w:ascii="Arial" w:hAnsi="Arial" w:cs="Arial"/>
          <w:sz w:val="16"/>
          <w:szCs w:val="16"/>
          <w:vertAlign w:val="superscript"/>
          <w:lang w:val="es-ES_tradnl"/>
        </w:rPr>
        <w:t>b</w:t>
      </w:r>
      <w:proofErr w:type="spellEnd"/>
      <w:r w:rsidR="00630F8B">
        <w:rPr>
          <w:rFonts w:ascii="Arial" w:hAnsi="Arial" w:cs="Arial"/>
          <w:sz w:val="16"/>
          <w:szCs w:val="16"/>
          <w:lang w:val="es-ES_tradnl"/>
        </w:rPr>
        <w:t xml:space="preserve">; </w:t>
      </w:r>
      <w:proofErr w:type="spellStart"/>
      <w:r w:rsidR="00B84A49">
        <w:rPr>
          <w:rFonts w:ascii="Arial" w:hAnsi="Arial" w:cs="Arial"/>
          <w:sz w:val="16"/>
          <w:szCs w:val="16"/>
          <w:lang w:val="es-ES_tradnl"/>
        </w:rPr>
        <w:t>Renzini</w:t>
      </w:r>
      <w:proofErr w:type="spellEnd"/>
      <w:r w:rsidR="00B84A49">
        <w:rPr>
          <w:rFonts w:ascii="Arial" w:hAnsi="Arial" w:cs="Arial"/>
          <w:sz w:val="16"/>
          <w:szCs w:val="16"/>
          <w:lang w:val="es-ES_tradnl"/>
        </w:rPr>
        <w:t xml:space="preserve">, </w:t>
      </w:r>
      <w:proofErr w:type="spellStart"/>
      <w:r w:rsidR="00B84A49">
        <w:rPr>
          <w:rFonts w:ascii="Arial" w:hAnsi="Arial" w:cs="Arial"/>
          <w:sz w:val="16"/>
          <w:szCs w:val="16"/>
          <w:lang w:val="es-ES_tradnl"/>
        </w:rPr>
        <w:t>M.S</w:t>
      </w:r>
      <w:r w:rsidR="00B84A49">
        <w:rPr>
          <w:rFonts w:ascii="Arial" w:hAnsi="Arial" w:cs="Arial"/>
          <w:sz w:val="16"/>
          <w:szCs w:val="16"/>
          <w:vertAlign w:val="superscript"/>
          <w:lang w:val="es-ES_tradnl"/>
        </w:rPr>
        <w:t>b</w:t>
      </w:r>
      <w:proofErr w:type="spellEnd"/>
      <w:r w:rsidR="00B84A49">
        <w:rPr>
          <w:rFonts w:ascii="Arial" w:hAnsi="Arial" w:cs="Arial"/>
          <w:sz w:val="16"/>
          <w:szCs w:val="16"/>
          <w:lang w:val="es-ES_tradnl"/>
        </w:rPr>
        <w:t xml:space="preserve">. </w:t>
      </w:r>
      <w:proofErr w:type="spellStart"/>
      <w:r w:rsidR="00630F8B">
        <w:rPr>
          <w:rFonts w:ascii="Arial" w:hAnsi="Arial" w:cs="Arial"/>
          <w:sz w:val="16"/>
          <w:szCs w:val="16"/>
          <w:lang w:val="es-ES_tradnl"/>
        </w:rPr>
        <w:t>Saux</w:t>
      </w:r>
      <w:proofErr w:type="spellEnd"/>
      <w:r w:rsidR="00630F8B">
        <w:rPr>
          <w:rFonts w:ascii="Arial" w:hAnsi="Arial" w:cs="Arial"/>
          <w:sz w:val="16"/>
          <w:szCs w:val="16"/>
          <w:lang w:val="es-ES_tradnl"/>
        </w:rPr>
        <w:t xml:space="preserve">, </w:t>
      </w:r>
      <w:proofErr w:type="spellStart"/>
      <w:r w:rsidR="00630F8B">
        <w:rPr>
          <w:rFonts w:ascii="Arial" w:hAnsi="Arial" w:cs="Arial"/>
          <w:sz w:val="16"/>
          <w:szCs w:val="16"/>
          <w:lang w:val="es-ES_tradnl"/>
        </w:rPr>
        <w:t>C.</w:t>
      </w:r>
      <w:r w:rsidR="00512936">
        <w:rPr>
          <w:rFonts w:ascii="Arial" w:hAnsi="Arial" w:cs="Arial"/>
          <w:sz w:val="16"/>
          <w:szCs w:val="16"/>
          <w:vertAlign w:val="superscript"/>
          <w:lang w:val="es-ES_tradnl"/>
        </w:rPr>
        <w:t>b</w:t>
      </w:r>
      <w:proofErr w:type="spellEnd"/>
    </w:p>
    <w:p w14:paraId="41EC1A35" w14:textId="1CC8459F" w:rsidR="00512936" w:rsidRDefault="00512936" w:rsidP="00512936">
      <w:pPr>
        <w:spacing w:after="0" w:line="240" w:lineRule="auto"/>
        <w:jc w:val="center"/>
        <w:rPr>
          <w:rFonts w:ascii="Arial" w:hAnsi="Arial" w:cs="Arial"/>
          <w:sz w:val="16"/>
          <w:szCs w:val="16"/>
          <w:lang w:val="es-AR"/>
        </w:rPr>
      </w:pPr>
      <w:r w:rsidRPr="00512936">
        <w:rPr>
          <w:rFonts w:ascii="Arial" w:hAnsi="Arial" w:cs="Arial"/>
          <w:sz w:val="16"/>
          <w:szCs w:val="16"/>
          <w:vertAlign w:val="superscript"/>
          <w:lang w:val="es-AR"/>
        </w:rPr>
        <w:t>a</w:t>
      </w:r>
      <w:r>
        <w:rPr>
          <w:rFonts w:ascii="Arial" w:hAnsi="Arial" w:cs="Arial"/>
          <w:sz w:val="16"/>
          <w:szCs w:val="16"/>
          <w:vertAlign w:val="superscript"/>
          <w:lang w:val="es-AR"/>
        </w:rPr>
        <w:t xml:space="preserve"> </w:t>
      </w:r>
      <w:r w:rsidRPr="00512936">
        <w:rPr>
          <w:rFonts w:ascii="Arial" w:hAnsi="Arial" w:cs="Arial"/>
          <w:sz w:val="16"/>
          <w:szCs w:val="16"/>
          <w:lang w:val="es-AR"/>
        </w:rPr>
        <w:t xml:space="preserve">Unidad de Fitopatología y Modelización Agrícola </w:t>
      </w:r>
      <w:r>
        <w:rPr>
          <w:rFonts w:ascii="Arial" w:hAnsi="Arial" w:cs="Arial"/>
          <w:sz w:val="16"/>
          <w:szCs w:val="16"/>
          <w:lang w:val="es-AR"/>
        </w:rPr>
        <w:t>(</w:t>
      </w:r>
      <w:proofErr w:type="spellStart"/>
      <w:r>
        <w:rPr>
          <w:rFonts w:ascii="Arial" w:hAnsi="Arial" w:cs="Arial"/>
          <w:sz w:val="16"/>
          <w:szCs w:val="16"/>
          <w:lang w:val="es-AR"/>
        </w:rPr>
        <w:t>UFyMA</w:t>
      </w:r>
      <w:proofErr w:type="spellEnd"/>
      <w:r>
        <w:rPr>
          <w:rFonts w:ascii="Arial" w:hAnsi="Arial" w:cs="Arial"/>
          <w:sz w:val="16"/>
          <w:szCs w:val="16"/>
          <w:lang w:val="es-AR"/>
        </w:rPr>
        <w:t xml:space="preserve">), CONICET-INTA </w:t>
      </w:r>
    </w:p>
    <w:p w14:paraId="613FA552" w14:textId="54601924" w:rsidR="004B7910" w:rsidRPr="00A47F0A" w:rsidRDefault="00512936" w:rsidP="00512936">
      <w:pPr>
        <w:spacing w:after="0" w:line="240" w:lineRule="auto"/>
        <w:jc w:val="center"/>
        <w:rPr>
          <w:rFonts w:ascii="Arial" w:hAnsi="Arial" w:cs="Arial"/>
          <w:sz w:val="16"/>
          <w:szCs w:val="16"/>
        </w:rPr>
      </w:pPr>
      <w:r>
        <w:rPr>
          <w:rFonts w:ascii="Arial" w:hAnsi="Arial" w:cs="Arial"/>
          <w:sz w:val="16"/>
          <w:szCs w:val="16"/>
          <w:vertAlign w:val="superscript"/>
          <w:lang w:val="es-AR"/>
        </w:rPr>
        <w:t>b</w:t>
      </w:r>
      <w:r>
        <w:rPr>
          <w:rFonts w:ascii="Arial" w:hAnsi="Arial" w:cs="Arial"/>
          <w:sz w:val="16"/>
          <w:szCs w:val="16"/>
          <w:lang w:val="es-AR"/>
        </w:rPr>
        <w:t xml:space="preserve"> </w:t>
      </w:r>
      <w:r w:rsidR="00383497" w:rsidRPr="00512936">
        <w:rPr>
          <w:rFonts w:ascii="Arial" w:hAnsi="Arial" w:cs="Arial"/>
          <w:sz w:val="16"/>
          <w:szCs w:val="16"/>
          <w:lang w:val="es-AR"/>
        </w:rPr>
        <w:t>Centro</w:t>
      </w:r>
      <w:r w:rsidR="00383497" w:rsidRPr="00A47F0A">
        <w:rPr>
          <w:rFonts w:ascii="Arial" w:hAnsi="Arial" w:cs="Arial"/>
          <w:sz w:val="16"/>
          <w:szCs w:val="16"/>
          <w:lang w:val="es-AR"/>
        </w:rPr>
        <w:t xml:space="preserve"> de Investigación y Tecnología Química </w:t>
      </w:r>
      <w:r w:rsidR="00A47F0A">
        <w:rPr>
          <w:rFonts w:ascii="Arial" w:hAnsi="Arial" w:cs="Arial"/>
          <w:sz w:val="16"/>
          <w:szCs w:val="16"/>
          <w:lang w:val="es-AR"/>
        </w:rPr>
        <w:t>(</w:t>
      </w:r>
      <w:proofErr w:type="spellStart"/>
      <w:r w:rsidR="00383497" w:rsidRPr="00A47F0A">
        <w:rPr>
          <w:rFonts w:ascii="Arial" w:hAnsi="Arial" w:cs="Arial"/>
          <w:sz w:val="16"/>
          <w:szCs w:val="16"/>
          <w:lang w:val="es-AR"/>
        </w:rPr>
        <w:t>CITeQ</w:t>
      </w:r>
      <w:proofErr w:type="spellEnd"/>
      <w:r w:rsidR="00A47F0A" w:rsidRPr="00A47F0A">
        <w:rPr>
          <w:rFonts w:ascii="Arial" w:hAnsi="Arial" w:cs="Arial"/>
          <w:sz w:val="16"/>
          <w:szCs w:val="16"/>
          <w:lang w:val="es-AR"/>
        </w:rPr>
        <w:t>), CONICET UTN-FRC</w:t>
      </w:r>
    </w:p>
    <w:p w14:paraId="61B62E07" w14:textId="77777777" w:rsidR="004B7910" w:rsidRPr="00B06197" w:rsidRDefault="00A7332F" w:rsidP="004B7910">
      <w:pPr>
        <w:spacing w:after="0" w:line="240" w:lineRule="auto"/>
        <w:jc w:val="center"/>
        <w:rPr>
          <w:rFonts w:ascii="Arial" w:hAnsi="Arial" w:cs="Arial"/>
          <w:sz w:val="20"/>
          <w:szCs w:val="20"/>
        </w:rPr>
      </w:pPr>
      <w:hyperlink r:id="rId5" w:history="1">
        <w:r w:rsidR="004B7910" w:rsidRPr="00B06197">
          <w:rPr>
            <w:rStyle w:val="Hipervnculo"/>
            <w:rFonts w:ascii="Arial" w:hAnsi="Arial" w:cs="Arial"/>
            <w:color w:val="auto"/>
            <w:sz w:val="16"/>
            <w:szCs w:val="16"/>
            <w:u w:val="none"/>
          </w:rPr>
          <w:t>cfermanelli@frc.utn.edu.ar</w:t>
        </w:r>
      </w:hyperlink>
    </w:p>
    <w:p w14:paraId="2510AA52" w14:textId="77777777" w:rsidR="004B7910" w:rsidRPr="00B06197" w:rsidRDefault="004B7910" w:rsidP="004B7910">
      <w:pPr>
        <w:spacing w:after="0" w:line="240" w:lineRule="auto"/>
        <w:jc w:val="center"/>
        <w:rPr>
          <w:rFonts w:ascii="Arial" w:hAnsi="Arial" w:cs="Arial"/>
          <w:b/>
          <w:sz w:val="20"/>
          <w:szCs w:val="20"/>
        </w:rPr>
      </w:pPr>
    </w:p>
    <w:p w14:paraId="341BC40F" w14:textId="0CE3C44C" w:rsidR="00365A15" w:rsidRDefault="00365A15" w:rsidP="009232E2">
      <w:pPr>
        <w:spacing w:after="0" w:line="240" w:lineRule="auto"/>
        <w:jc w:val="both"/>
        <w:rPr>
          <w:rFonts w:ascii="Arial" w:hAnsi="Arial" w:cs="Arial"/>
          <w:b/>
          <w:sz w:val="20"/>
          <w:szCs w:val="20"/>
          <w:lang w:val="es-AR"/>
        </w:rPr>
      </w:pPr>
      <w:r>
        <w:rPr>
          <w:rFonts w:ascii="Arial" w:hAnsi="Arial" w:cs="Arial"/>
          <w:b/>
          <w:sz w:val="20"/>
          <w:szCs w:val="20"/>
          <w:lang w:val="es-AR"/>
        </w:rPr>
        <w:t>Resumen</w:t>
      </w:r>
    </w:p>
    <w:p w14:paraId="29E9ACE8" w14:textId="38232921" w:rsidR="00201107" w:rsidRDefault="00BF195E" w:rsidP="009232E2">
      <w:pPr>
        <w:spacing w:after="0" w:line="240" w:lineRule="auto"/>
        <w:jc w:val="both"/>
        <w:rPr>
          <w:rFonts w:ascii="Arial" w:hAnsi="Arial" w:cs="Arial"/>
          <w:sz w:val="20"/>
          <w:szCs w:val="20"/>
          <w:lang w:val="es-AR"/>
        </w:rPr>
      </w:pPr>
      <w:r w:rsidRPr="00BF195E">
        <w:rPr>
          <w:rFonts w:ascii="Arial" w:hAnsi="Arial" w:cs="Arial"/>
          <w:sz w:val="20"/>
          <w:szCs w:val="20"/>
          <w:lang w:val="es-AR"/>
        </w:rPr>
        <w:t>El propósito de este trabajo fu</w:t>
      </w:r>
      <w:r>
        <w:rPr>
          <w:rFonts w:ascii="Arial" w:hAnsi="Arial" w:cs="Arial"/>
          <w:sz w:val="20"/>
          <w:szCs w:val="20"/>
          <w:lang w:val="es-AR"/>
        </w:rPr>
        <w:t xml:space="preserve">e valorizar un </w:t>
      </w:r>
      <w:proofErr w:type="spellStart"/>
      <w:r>
        <w:rPr>
          <w:rFonts w:ascii="Arial" w:hAnsi="Arial" w:cs="Arial"/>
          <w:sz w:val="20"/>
          <w:szCs w:val="20"/>
          <w:lang w:val="es-AR"/>
        </w:rPr>
        <w:t>bio</w:t>
      </w:r>
      <w:proofErr w:type="spellEnd"/>
      <w:r>
        <w:rPr>
          <w:rFonts w:ascii="Arial" w:hAnsi="Arial" w:cs="Arial"/>
          <w:sz w:val="20"/>
          <w:szCs w:val="20"/>
          <w:lang w:val="es-AR"/>
        </w:rPr>
        <w:t>-</w:t>
      </w:r>
      <w:r w:rsidRPr="00BF195E">
        <w:rPr>
          <w:rFonts w:ascii="Arial" w:hAnsi="Arial" w:cs="Arial"/>
          <w:sz w:val="20"/>
          <w:szCs w:val="20"/>
          <w:lang w:val="es-AR"/>
        </w:rPr>
        <w:t xml:space="preserve">residuo regional </w:t>
      </w:r>
      <w:r w:rsidR="00201107">
        <w:rPr>
          <w:rFonts w:ascii="Arial" w:hAnsi="Arial" w:cs="Arial"/>
          <w:sz w:val="20"/>
          <w:szCs w:val="20"/>
          <w:lang w:val="es-AR"/>
        </w:rPr>
        <w:t xml:space="preserve">(cáscara de maní) </w:t>
      </w:r>
      <w:r w:rsidRPr="00BF195E">
        <w:rPr>
          <w:rFonts w:ascii="Arial" w:hAnsi="Arial" w:cs="Arial"/>
          <w:sz w:val="20"/>
          <w:szCs w:val="20"/>
          <w:lang w:val="es-AR"/>
        </w:rPr>
        <w:t xml:space="preserve">a través de un modesto proceso de </w:t>
      </w:r>
      <w:proofErr w:type="spellStart"/>
      <w:r w:rsidRPr="00BF195E">
        <w:rPr>
          <w:rFonts w:ascii="Arial" w:hAnsi="Arial" w:cs="Arial"/>
          <w:sz w:val="20"/>
          <w:szCs w:val="20"/>
          <w:lang w:val="es-AR"/>
        </w:rPr>
        <w:t>pirólisis</w:t>
      </w:r>
      <w:proofErr w:type="spellEnd"/>
      <w:r w:rsidRPr="00BF195E">
        <w:rPr>
          <w:rFonts w:ascii="Arial" w:hAnsi="Arial" w:cs="Arial"/>
          <w:sz w:val="20"/>
          <w:szCs w:val="20"/>
          <w:lang w:val="es-AR"/>
        </w:rPr>
        <w:t xml:space="preserve"> </w:t>
      </w:r>
      <w:proofErr w:type="spellStart"/>
      <w:r w:rsidRPr="00BF195E">
        <w:rPr>
          <w:rFonts w:ascii="Arial" w:hAnsi="Arial" w:cs="Arial"/>
          <w:sz w:val="20"/>
          <w:szCs w:val="20"/>
          <w:lang w:val="es-AR"/>
        </w:rPr>
        <w:t>termocatalítica</w:t>
      </w:r>
      <w:proofErr w:type="spellEnd"/>
      <w:r w:rsidRPr="00BF195E">
        <w:rPr>
          <w:rFonts w:ascii="Arial" w:hAnsi="Arial" w:cs="Arial"/>
          <w:sz w:val="20"/>
          <w:szCs w:val="20"/>
          <w:lang w:val="es-AR"/>
        </w:rPr>
        <w:t xml:space="preserve">. Zeolitas ZSM-11 modificadas </w:t>
      </w:r>
      <w:r>
        <w:rPr>
          <w:rFonts w:ascii="Arial" w:hAnsi="Arial" w:cs="Arial"/>
          <w:sz w:val="20"/>
          <w:szCs w:val="20"/>
          <w:lang w:val="es-AR"/>
        </w:rPr>
        <w:t>mediante tratamiento alcalino y por</w:t>
      </w:r>
      <w:r w:rsidRPr="00BF195E">
        <w:rPr>
          <w:rFonts w:ascii="Arial" w:hAnsi="Arial" w:cs="Arial"/>
          <w:sz w:val="20"/>
          <w:szCs w:val="20"/>
          <w:lang w:val="es-AR"/>
        </w:rPr>
        <w:t xml:space="preserve"> </w:t>
      </w:r>
      <w:r>
        <w:rPr>
          <w:rFonts w:ascii="Arial" w:hAnsi="Arial" w:cs="Arial"/>
          <w:sz w:val="20"/>
          <w:szCs w:val="20"/>
          <w:lang w:val="es-AR"/>
        </w:rPr>
        <w:t xml:space="preserve">la </w:t>
      </w:r>
      <w:r w:rsidRPr="00BF195E">
        <w:rPr>
          <w:rFonts w:ascii="Arial" w:hAnsi="Arial" w:cs="Arial"/>
          <w:sz w:val="20"/>
          <w:szCs w:val="20"/>
          <w:lang w:val="es-AR"/>
        </w:rPr>
        <w:t xml:space="preserve">incorporación de níquel (Ni) </w:t>
      </w:r>
      <w:r>
        <w:rPr>
          <w:rFonts w:ascii="Arial" w:hAnsi="Arial" w:cs="Arial"/>
          <w:sz w:val="20"/>
          <w:szCs w:val="20"/>
          <w:lang w:val="es-AR"/>
        </w:rPr>
        <w:t xml:space="preserve">fueron sintetizadas </w:t>
      </w:r>
      <w:r w:rsidRPr="00BF195E">
        <w:rPr>
          <w:rFonts w:ascii="Arial" w:hAnsi="Arial" w:cs="Arial"/>
          <w:sz w:val="20"/>
          <w:szCs w:val="20"/>
          <w:lang w:val="es-AR"/>
        </w:rPr>
        <w:t xml:space="preserve">y </w:t>
      </w:r>
      <w:r w:rsidR="003918EE">
        <w:rPr>
          <w:rFonts w:ascii="Arial" w:hAnsi="Arial" w:cs="Arial"/>
          <w:sz w:val="20"/>
          <w:szCs w:val="20"/>
          <w:lang w:val="es-AR"/>
        </w:rPr>
        <w:t xml:space="preserve">extensamente </w:t>
      </w:r>
      <w:r w:rsidRPr="00BF195E">
        <w:rPr>
          <w:rFonts w:ascii="Arial" w:hAnsi="Arial" w:cs="Arial"/>
          <w:sz w:val="20"/>
          <w:szCs w:val="20"/>
          <w:lang w:val="es-AR"/>
        </w:rPr>
        <w:t>caracteriza</w:t>
      </w:r>
      <w:r>
        <w:rPr>
          <w:rFonts w:ascii="Arial" w:hAnsi="Arial" w:cs="Arial"/>
          <w:sz w:val="20"/>
          <w:szCs w:val="20"/>
          <w:lang w:val="es-AR"/>
        </w:rPr>
        <w:t>das</w:t>
      </w:r>
      <w:r w:rsidR="003918EE">
        <w:rPr>
          <w:rFonts w:ascii="Arial" w:hAnsi="Arial" w:cs="Arial"/>
          <w:sz w:val="20"/>
          <w:szCs w:val="20"/>
          <w:lang w:val="es-AR"/>
        </w:rPr>
        <w:t>.</w:t>
      </w:r>
      <w:r w:rsidRPr="00BF195E">
        <w:rPr>
          <w:rFonts w:ascii="Arial" w:hAnsi="Arial" w:cs="Arial"/>
          <w:sz w:val="20"/>
          <w:szCs w:val="20"/>
          <w:lang w:val="es-AR"/>
        </w:rPr>
        <w:t xml:space="preserve"> Estos materiales porosos se evaluaron como catalizadores heterogéneos para mejorar la composición del </w:t>
      </w:r>
      <w:proofErr w:type="spellStart"/>
      <w:r w:rsidRPr="00BF195E">
        <w:rPr>
          <w:rFonts w:ascii="Arial" w:hAnsi="Arial" w:cs="Arial"/>
          <w:sz w:val="20"/>
          <w:szCs w:val="20"/>
          <w:lang w:val="es-AR"/>
        </w:rPr>
        <w:t>bio</w:t>
      </w:r>
      <w:r w:rsidR="00201107">
        <w:rPr>
          <w:rFonts w:ascii="Arial" w:hAnsi="Arial" w:cs="Arial"/>
          <w:sz w:val="20"/>
          <w:szCs w:val="20"/>
          <w:lang w:val="es-AR"/>
        </w:rPr>
        <w:t>-oil</w:t>
      </w:r>
      <w:proofErr w:type="spellEnd"/>
      <w:r w:rsidRPr="00BF195E">
        <w:rPr>
          <w:rFonts w:ascii="Arial" w:hAnsi="Arial" w:cs="Arial"/>
          <w:sz w:val="20"/>
          <w:szCs w:val="20"/>
          <w:lang w:val="es-AR"/>
        </w:rPr>
        <w:t xml:space="preserve">. En este sentido, se obtuvieron mayores rendimientos de hidrocarburos y químicos de calidad y se disminuyeron los </w:t>
      </w:r>
      <w:r w:rsidR="003E24A4">
        <w:rPr>
          <w:rFonts w:ascii="Arial" w:hAnsi="Arial" w:cs="Arial"/>
          <w:sz w:val="20"/>
          <w:szCs w:val="20"/>
          <w:lang w:val="es-AR"/>
        </w:rPr>
        <w:t xml:space="preserve">compuestos </w:t>
      </w:r>
      <w:r w:rsidRPr="00BF195E">
        <w:rPr>
          <w:rFonts w:ascii="Arial" w:hAnsi="Arial" w:cs="Arial"/>
          <w:sz w:val="20"/>
          <w:szCs w:val="20"/>
          <w:lang w:val="es-AR"/>
        </w:rPr>
        <w:t>oxigenados.</w:t>
      </w:r>
    </w:p>
    <w:p w14:paraId="0B62D539" w14:textId="049B025F" w:rsidR="00A47B08" w:rsidRPr="00A47B08" w:rsidRDefault="00A47B08" w:rsidP="009232E2">
      <w:pPr>
        <w:spacing w:after="0" w:line="240" w:lineRule="auto"/>
        <w:jc w:val="both"/>
        <w:rPr>
          <w:rFonts w:ascii="Arial" w:hAnsi="Arial" w:cs="Arial"/>
          <w:b/>
          <w:sz w:val="20"/>
          <w:szCs w:val="20"/>
          <w:lang w:val="es-AR"/>
        </w:rPr>
      </w:pPr>
      <w:r w:rsidRPr="00A47B08">
        <w:rPr>
          <w:rFonts w:ascii="Arial" w:hAnsi="Arial" w:cs="Arial"/>
          <w:b/>
          <w:sz w:val="20"/>
          <w:szCs w:val="20"/>
          <w:lang w:val="es-AR"/>
        </w:rPr>
        <w:t>Introducción</w:t>
      </w:r>
    </w:p>
    <w:p w14:paraId="547CE53F" w14:textId="7BA8F7ED" w:rsidR="00201107" w:rsidRPr="00201107" w:rsidRDefault="00201107" w:rsidP="00201107">
      <w:pPr>
        <w:spacing w:after="0" w:line="240" w:lineRule="auto"/>
        <w:jc w:val="both"/>
        <w:rPr>
          <w:rFonts w:ascii="Arial" w:hAnsi="Arial" w:cs="Arial"/>
          <w:sz w:val="20"/>
          <w:szCs w:val="20"/>
          <w:lang w:val="es-AR"/>
        </w:rPr>
      </w:pPr>
      <w:r w:rsidRPr="00201107">
        <w:rPr>
          <w:rFonts w:ascii="Arial" w:hAnsi="Arial" w:cs="Arial"/>
          <w:sz w:val="20"/>
          <w:szCs w:val="20"/>
          <w:lang w:val="es-AR"/>
        </w:rPr>
        <w:t>En sus 17 Objetivos de Desarrollo Sostenible (ODS), las Naciones Unidas promueven el principio del uso óptimo y responsable de los recursos para fines que conduzcan a una transición convincente hacia una economía circular. La idea principal de la economía circular consiste en un rediseño avanzado y avances tecnológi</w:t>
      </w:r>
      <w:r w:rsidR="00AC6239">
        <w:rPr>
          <w:rFonts w:ascii="Arial" w:hAnsi="Arial" w:cs="Arial"/>
          <w:sz w:val="20"/>
          <w:szCs w:val="20"/>
          <w:lang w:val="es-AR"/>
        </w:rPr>
        <w:t xml:space="preserve">cos para minimizar los residuos. </w:t>
      </w:r>
    </w:p>
    <w:p w14:paraId="52912DE1" w14:textId="55A00332" w:rsidR="00472DD2" w:rsidRPr="00472DD2" w:rsidRDefault="00201107" w:rsidP="00472DD2">
      <w:pPr>
        <w:spacing w:after="0" w:line="240" w:lineRule="auto"/>
        <w:jc w:val="both"/>
        <w:rPr>
          <w:rFonts w:ascii="Arial" w:hAnsi="Arial" w:cs="Arial"/>
          <w:sz w:val="20"/>
          <w:szCs w:val="20"/>
          <w:lang w:val="es-AR"/>
        </w:rPr>
      </w:pPr>
      <w:r w:rsidRPr="00201107">
        <w:rPr>
          <w:rFonts w:ascii="Arial" w:hAnsi="Arial" w:cs="Arial"/>
          <w:sz w:val="20"/>
          <w:szCs w:val="20"/>
          <w:lang w:val="es-AR"/>
        </w:rPr>
        <w:t>La biomasa es una alternativa prometedora a los recursos fós</w:t>
      </w:r>
      <w:r w:rsidR="003918EE">
        <w:rPr>
          <w:rFonts w:ascii="Arial" w:hAnsi="Arial" w:cs="Arial"/>
          <w:sz w:val="20"/>
          <w:szCs w:val="20"/>
          <w:lang w:val="es-AR"/>
        </w:rPr>
        <w:t xml:space="preserve">iles por su riqueza en carbono y, </w:t>
      </w:r>
      <w:r w:rsidRPr="00201107">
        <w:rPr>
          <w:rFonts w:ascii="Arial" w:hAnsi="Arial" w:cs="Arial"/>
          <w:sz w:val="20"/>
          <w:szCs w:val="20"/>
          <w:lang w:val="es-AR"/>
        </w:rPr>
        <w:t xml:space="preserve">considerando su importancia para la producción de alimentos, se debe evitar una situación competitiva. En este sentido, los residuos agrícolas son candidatos ideales para la producción de combustibles y productos químicos. Argentina es el octavo productor mundial de maní, </w:t>
      </w:r>
      <w:r w:rsidR="00F23153">
        <w:rPr>
          <w:rFonts w:ascii="Arial" w:hAnsi="Arial" w:cs="Arial"/>
          <w:sz w:val="20"/>
          <w:szCs w:val="20"/>
          <w:lang w:val="es-AR"/>
        </w:rPr>
        <w:t xml:space="preserve">superando el millón de toneladas producidas por campaña. </w:t>
      </w:r>
      <w:r w:rsidRPr="00201107">
        <w:rPr>
          <w:rFonts w:ascii="Arial" w:hAnsi="Arial" w:cs="Arial"/>
          <w:sz w:val="20"/>
          <w:szCs w:val="20"/>
          <w:lang w:val="es-AR"/>
        </w:rPr>
        <w:t>Un 25% en peso de la producción corresponde a la cáscara, subproducto no utilizado adecuadamente. Teniendo en cuenta el concepto de economía circular, la cáscara de maní (</w:t>
      </w:r>
      <w:r>
        <w:rPr>
          <w:rFonts w:ascii="Arial" w:hAnsi="Arial" w:cs="Arial"/>
          <w:sz w:val="20"/>
          <w:szCs w:val="20"/>
          <w:lang w:val="es-AR"/>
        </w:rPr>
        <w:t>CM</w:t>
      </w:r>
      <w:r w:rsidRPr="00201107">
        <w:rPr>
          <w:rFonts w:ascii="Arial" w:hAnsi="Arial" w:cs="Arial"/>
          <w:sz w:val="20"/>
          <w:szCs w:val="20"/>
          <w:lang w:val="es-AR"/>
        </w:rPr>
        <w:t xml:space="preserve">) podría considerarse como </w:t>
      </w:r>
      <w:r>
        <w:rPr>
          <w:rFonts w:ascii="Arial" w:hAnsi="Arial" w:cs="Arial"/>
          <w:sz w:val="20"/>
          <w:szCs w:val="20"/>
          <w:lang w:val="es-AR"/>
        </w:rPr>
        <w:t>materia prima</w:t>
      </w:r>
      <w:r w:rsidRPr="00201107">
        <w:rPr>
          <w:rFonts w:ascii="Arial" w:hAnsi="Arial" w:cs="Arial"/>
          <w:sz w:val="20"/>
          <w:szCs w:val="20"/>
          <w:lang w:val="es-AR"/>
        </w:rPr>
        <w:t xml:space="preserve"> de un proceso integral.</w:t>
      </w:r>
      <w:r w:rsidR="00F23153">
        <w:rPr>
          <w:rFonts w:ascii="Arial" w:hAnsi="Arial" w:cs="Arial"/>
          <w:sz w:val="20"/>
          <w:szCs w:val="20"/>
          <w:lang w:val="es-AR"/>
        </w:rPr>
        <w:t xml:space="preserve"> </w:t>
      </w:r>
      <w:r>
        <w:rPr>
          <w:rFonts w:ascii="Arial" w:hAnsi="Arial" w:cs="Arial"/>
          <w:sz w:val="20"/>
          <w:szCs w:val="20"/>
          <w:lang w:val="es-AR"/>
        </w:rPr>
        <w:t>CM</w:t>
      </w:r>
      <w:r w:rsidRPr="00201107">
        <w:rPr>
          <w:rFonts w:ascii="Arial" w:hAnsi="Arial" w:cs="Arial"/>
          <w:sz w:val="20"/>
          <w:szCs w:val="20"/>
          <w:lang w:val="es-AR"/>
        </w:rPr>
        <w:t xml:space="preserve"> contiene alrededor de 50% de celulosa, 20% de </w:t>
      </w:r>
      <w:proofErr w:type="spellStart"/>
      <w:r w:rsidRPr="00201107">
        <w:rPr>
          <w:rFonts w:ascii="Arial" w:hAnsi="Arial" w:cs="Arial"/>
          <w:sz w:val="20"/>
          <w:szCs w:val="20"/>
          <w:lang w:val="es-AR"/>
        </w:rPr>
        <w:t>hemicelulosa</w:t>
      </w:r>
      <w:proofErr w:type="spellEnd"/>
      <w:r w:rsidRPr="00201107">
        <w:rPr>
          <w:rFonts w:ascii="Arial" w:hAnsi="Arial" w:cs="Arial"/>
          <w:sz w:val="20"/>
          <w:szCs w:val="20"/>
          <w:lang w:val="es-AR"/>
        </w:rPr>
        <w:t xml:space="preserve"> y 30% de lignina </w:t>
      </w:r>
      <w:r w:rsidR="00E24680">
        <w:rPr>
          <w:rFonts w:ascii="Arial" w:hAnsi="Arial" w:cs="Arial"/>
          <w:sz w:val="20"/>
          <w:szCs w:val="20"/>
          <w:lang w:val="es-AR"/>
        </w:rPr>
        <w:fldChar w:fldCharType="begin" w:fldLock="1"/>
      </w:r>
      <w:r w:rsidR="000551AA">
        <w:rPr>
          <w:rFonts w:ascii="Arial" w:hAnsi="Arial" w:cs="Arial"/>
          <w:sz w:val="20"/>
          <w:szCs w:val="20"/>
          <w:lang w:val="es-AR"/>
        </w:rPr>
        <w:instrText>ADDIN CSL_CITATION {"citationItems":[{"id":"ITEM-1","itemData":{"DOI":"10.1007/s11244-019-01176-z","ISSN":"15729028","abstract":"In this work, a simple thermal-catalytic system was used to valorize peanut shells (Arachis hypogaea), the residual biomass from the peanut industry. To accomplish this purpose, tin modified MEL zeolites were synthesized to catalyze pyrolysis vapors reactions in order to improve bio-oil quality. The processes were conducted at 500 °C for 10 min, with biomass-to-catalyst ratio of 1:1. Proximate, ultimate and elemental analyses of the peanut shells were carried out. Biopolymer composition and HHV were also determined. Thermal decomposition behavior of the raw material was assessed by TGA/DTG analysis. Tin was incorporated to the zeolite matrix by the wet impregnation method to obtain loads of 2, 5, 7 and 10 wt%. All the catalysts were characterized by XRD, TPR, FTIR and BET surface area. Liquid products composition was determined by GC–MS. The material with 5 wt% of tin showed the best results. The optimal combination of Lewis and Brönsted acid sites in this catalyst promoted the necessary reactions to enhance bio-oil quality. In this sense, hydrocarbons selectivity in the presence of the 5 wt% tin zeolite was ten times the one reached in the absence of catalysts. Likewise, 5-hydroxymethyl-furfural formation was favored, obtaining the highest selectivity with the same metal load on the catalyst.","author":[{"dropping-particle":"","family":"Fermanelli","given":"Carla S.","non-dropping-particle":"","parse-names":false,"suffix":""},{"dropping-particle":"","family":"Galarza","given":"Emilce D.","non-dropping-particle":"","parse-names":false,"suffix":""},{"dropping-particle":"","family":"Pierella","given":"Liliana B.","non-dropping-particle":"","parse-names":false,"suffix":""},{"dropping-particle":"","family":"Renzini","given":"María S.","non-dropping-particle":"","parse-names":false,"suffix":""},{"dropping-particle":"","family":"Saux","given":"Clara","non-dropping-particle":"","parse-names":false,"suffix":""}],"container-title":"Topics in Catalysis","id":"ITEM-1","issue":"12-16","issued":{"date-parts":[["2019"]]},"page":"918-930","publisher":"Springer US","title":"How to Valorize Peanut Shells by a Simple Thermal-Catalytic Method","type":"article-journal","volume":"62"},"uris":["http://www.mendeley.com/documents/?uuid=b1f54483-3f65-4fed-9d61-b61ae93b8ed0"]}],"mendeley":{"formattedCitation":"[1]","plainTextFormattedCitation":"[1]","previouslyFormattedCitation":"[1]"},"properties":{"noteIndex":0},"schema":"https://github.com/citation-style-language/schema/raw/master/csl-citation.json"}</w:instrText>
      </w:r>
      <w:r w:rsidR="00E24680">
        <w:rPr>
          <w:rFonts w:ascii="Arial" w:hAnsi="Arial" w:cs="Arial"/>
          <w:sz w:val="20"/>
          <w:szCs w:val="20"/>
          <w:lang w:val="es-AR"/>
        </w:rPr>
        <w:fldChar w:fldCharType="separate"/>
      </w:r>
      <w:r w:rsidR="00AC6239" w:rsidRPr="00AC6239">
        <w:rPr>
          <w:rFonts w:ascii="Arial" w:hAnsi="Arial" w:cs="Arial"/>
          <w:noProof/>
          <w:sz w:val="20"/>
          <w:szCs w:val="20"/>
          <w:lang w:val="es-AR"/>
        </w:rPr>
        <w:t>[1]</w:t>
      </w:r>
      <w:r w:rsidR="00E24680">
        <w:rPr>
          <w:rFonts w:ascii="Arial" w:hAnsi="Arial" w:cs="Arial"/>
          <w:sz w:val="20"/>
          <w:szCs w:val="20"/>
          <w:lang w:val="es-AR"/>
        </w:rPr>
        <w:fldChar w:fldCharType="end"/>
      </w:r>
      <w:r w:rsidRPr="00201107">
        <w:rPr>
          <w:rFonts w:ascii="Arial" w:hAnsi="Arial" w:cs="Arial"/>
          <w:sz w:val="20"/>
          <w:szCs w:val="20"/>
          <w:lang w:val="es-AR"/>
        </w:rPr>
        <w:t xml:space="preserve"> </w:t>
      </w:r>
      <w:r w:rsidR="00472DD2">
        <w:rPr>
          <w:rFonts w:ascii="Arial" w:hAnsi="Arial" w:cs="Arial"/>
          <w:sz w:val="20"/>
          <w:szCs w:val="20"/>
          <w:lang w:val="es-AR"/>
        </w:rPr>
        <w:t>haciendo su</w:t>
      </w:r>
      <w:r>
        <w:rPr>
          <w:rFonts w:ascii="Arial" w:hAnsi="Arial" w:cs="Arial"/>
          <w:sz w:val="20"/>
          <w:szCs w:val="20"/>
          <w:lang w:val="es-AR"/>
        </w:rPr>
        <w:t xml:space="preserve"> </w:t>
      </w:r>
      <w:r w:rsidRPr="00201107">
        <w:rPr>
          <w:rFonts w:ascii="Arial" w:hAnsi="Arial" w:cs="Arial"/>
          <w:sz w:val="20"/>
          <w:szCs w:val="20"/>
          <w:lang w:val="es-AR"/>
        </w:rPr>
        <w:t>biodegradación extremadamente baja</w:t>
      </w:r>
      <w:r w:rsidR="000551AA">
        <w:rPr>
          <w:rFonts w:ascii="Arial" w:hAnsi="Arial" w:cs="Arial"/>
          <w:sz w:val="20"/>
          <w:szCs w:val="20"/>
          <w:lang w:val="es-AR"/>
        </w:rPr>
        <w:t xml:space="preserve">, </w:t>
      </w:r>
      <w:r w:rsidRPr="00201107">
        <w:rPr>
          <w:rFonts w:ascii="Arial" w:hAnsi="Arial" w:cs="Arial"/>
          <w:sz w:val="20"/>
          <w:szCs w:val="20"/>
          <w:lang w:val="es-AR"/>
        </w:rPr>
        <w:t xml:space="preserve">lo que resulta en la necesidad de tratamientos severos. </w:t>
      </w:r>
      <w:r w:rsidR="00472DD2" w:rsidRPr="00201107">
        <w:rPr>
          <w:rFonts w:ascii="Arial" w:hAnsi="Arial" w:cs="Arial"/>
          <w:sz w:val="20"/>
          <w:szCs w:val="20"/>
          <w:lang w:val="es-AR"/>
        </w:rPr>
        <w:t xml:space="preserve">Por tanto, la </w:t>
      </w:r>
      <w:proofErr w:type="spellStart"/>
      <w:r w:rsidR="00472DD2" w:rsidRPr="00201107">
        <w:rPr>
          <w:rFonts w:ascii="Arial" w:hAnsi="Arial" w:cs="Arial"/>
          <w:sz w:val="20"/>
          <w:szCs w:val="20"/>
          <w:lang w:val="es-AR"/>
        </w:rPr>
        <w:t>pirólisis</w:t>
      </w:r>
      <w:proofErr w:type="spellEnd"/>
      <w:r w:rsidR="00472DD2" w:rsidRPr="00201107">
        <w:rPr>
          <w:rFonts w:ascii="Arial" w:hAnsi="Arial" w:cs="Arial"/>
          <w:sz w:val="20"/>
          <w:szCs w:val="20"/>
          <w:lang w:val="es-AR"/>
        </w:rPr>
        <w:t xml:space="preserve"> </w:t>
      </w:r>
      <w:r w:rsidR="00472DD2">
        <w:rPr>
          <w:rFonts w:ascii="Arial" w:hAnsi="Arial" w:cs="Arial"/>
          <w:sz w:val="20"/>
          <w:szCs w:val="20"/>
          <w:lang w:val="es-AR"/>
        </w:rPr>
        <w:t>catalítica</w:t>
      </w:r>
      <w:r w:rsidR="00472DD2" w:rsidRPr="00201107">
        <w:rPr>
          <w:rFonts w:ascii="Arial" w:hAnsi="Arial" w:cs="Arial"/>
          <w:sz w:val="20"/>
          <w:szCs w:val="20"/>
          <w:lang w:val="es-AR"/>
        </w:rPr>
        <w:t xml:space="preserve"> parece ser una buena alternativa para tratar y valorizar estos residuos. </w:t>
      </w:r>
      <w:r w:rsidR="00472DD2" w:rsidRPr="00472DD2">
        <w:rPr>
          <w:rFonts w:ascii="Arial" w:hAnsi="Arial" w:cs="Arial"/>
          <w:sz w:val="20"/>
          <w:szCs w:val="20"/>
          <w:lang w:val="es-AR"/>
        </w:rPr>
        <w:t xml:space="preserve">En este sentido, se estudiaron dos tipos de materiales sólidos porosos: una zeolita ZSM-11 </w:t>
      </w:r>
      <w:proofErr w:type="spellStart"/>
      <w:r w:rsidR="00472DD2" w:rsidRPr="00472DD2">
        <w:rPr>
          <w:rFonts w:ascii="Arial" w:hAnsi="Arial" w:cs="Arial"/>
          <w:sz w:val="20"/>
          <w:szCs w:val="20"/>
          <w:lang w:val="es-AR"/>
        </w:rPr>
        <w:t>mi</w:t>
      </w:r>
      <w:r w:rsidR="00247825">
        <w:rPr>
          <w:rFonts w:ascii="Arial" w:hAnsi="Arial" w:cs="Arial"/>
          <w:sz w:val="20"/>
          <w:szCs w:val="20"/>
          <w:lang w:val="es-AR"/>
        </w:rPr>
        <w:t>croporosa</w:t>
      </w:r>
      <w:proofErr w:type="spellEnd"/>
      <w:r w:rsidR="00247825">
        <w:rPr>
          <w:rFonts w:ascii="Arial" w:hAnsi="Arial" w:cs="Arial"/>
          <w:sz w:val="20"/>
          <w:szCs w:val="20"/>
          <w:lang w:val="es-AR"/>
        </w:rPr>
        <w:t xml:space="preserve"> tradicional (H-ZSM-11</w:t>
      </w:r>
      <w:r w:rsidR="00472DD2" w:rsidRPr="00472DD2">
        <w:rPr>
          <w:rFonts w:ascii="Arial" w:hAnsi="Arial" w:cs="Arial"/>
          <w:sz w:val="20"/>
          <w:szCs w:val="20"/>
          <w:lang w:val="es-AR"/>
        </w:rPr>
        <w:t>) y una forma jer</w:t>
      </w:r>
      <w:r w:rsidR="00472DD2">
        <w:rPr>
          <w:rFonts w:ascii="Arial" w:hAnsi="Arial" w:cs="Arial"/>
          <w:sz w:val="20"/>
          <w:szCs w:val="20"/>
          <w:lang w:val="es-AR"/>
        </w:rPr>
        <w:t>arquizada</w:t>
      </w:r>
      <w:r w:rsidR="00472DD2" w:rsidRPr="00472DD2">
        <w:rPr>
          <w:rFonts w:ascii="Arial" w:hAnsi="Arial" w:cs="Arial"/>
          <w:sz w:val="20"/>
          <w:szCs w:val="20"/>
          <w:lang w:val="es-AR"/>
        </w:rPr>
        <w:t xml:space="preserve"> de la misma clase de zeolita (H-Z</w:t>
      </w:r>
      <w:r w:rsidR="00472DD2">
        <w:rPr>
          <w:rFonts w:ascii="Arial" w:hAnsi="Arial" w:cs="Arial"/>
          <w:sz w:val="20"/>
          <w:szCs w:val="20"/>
          <w:lang w:val="es-AR"/>
        </w:rPr>
        <w:t>SM-11</w:t>
      </w:r>
      <w:r w:rsidR="00247825">
        <w:rPr>
          <w:rFonts w:ascii="Arial" w:hAnsi="Arial" w:cs="Arial"/>
          <w:sz w:val="20"/>
          <w:szCs w:val="20"/>
          <w:lang w:val="es-AR"/>
        </w:rPr>
        <w:t>(T)</w:t>
      </w:r>
      <w:r w:rsidR="00472DD2">
        <w:rPr>
          <w:rFonts w:ascii="Arial" w:hAnsi="Arial" w:cs="Arial"/>
          <w:sz w:val="20"/>
          <w:szCs w:val="20"/>
          <w:lang w:val="es-AR"/>
        </w:rPr>
        <w:t xml:space="preserve">), ambas impregnadas con 5 %p/p de Ni. </w:t>
      </w:r>
    </w:p>
    <w:p w14:paraId="39A071D6" w14:textId="469D77D4" w:rsidR="00472DD2" w:rsidRDefault="00472DD2" w:rsidP="00472DD2">
      <w:pPr>
        <w:spacing w:after="0" w:line="240" w:lineRule="auto"/>
        <w:jc w:val="both"/>
        <w:rPr>
          <w:rFonts w:ascii="Arial" w:hAnsi="Arial" w:cs="Arial"/>
          <w:sz w:val="20"/>
          <w:szCs w:val="20"/>
          <w:lang w:val="es-AR"/>
        </w:rPr>
      </w:pPr>
      <w:r w:rsidRPr="00472DD2">
        <w:rPr>
          <w:rFonts w:ascii="Arial" w:hAnsi="Arial" w:cs="Arial"/>
          <w:sz w:val="20"/>
          <w:szCs w:val="20"/>
          <w:lang w:val="es-AR"/>
        </w:rPr>
        <w:t xml:space="preserve">La </w:t>
      </w:r>
      <w:proofErr w:type="spellStart"/>
      <w:r w:rsidRPr="00472DD2">
        <w:rPr>
          <w:rFonts w:ascii="Arial" w:hAnsi="Arial" w:cs="Arial"/>
          <w:sz w:val="20"/>
          <w:szCs w:val="20"/>
          <w:lang w:val="es-AR"/>
        </w:rPr>
        <w:t>pirólisis</w:t>
      </w:r>
      <w:proofErr w:type="spellEnd"/>
      <w:r w:rsidRPr="00472DD2">
        <w:rPr>
          <w:rFonts w:ascii="Arial" w:hAnsi="Arial" w:cs="Arial"/>
          <w:sz w:val="20"/>
          <w:szCs w:val="20"/>
          <w:lang w:val="es-AR"/>
        </w:rPr>
        <w:t xml:space="preserve"> genera una fracción líquida (</w:t>
      </w:r>
      <w:proofErr w:type="spellStart"/>
      <w:r w:rsidRPr="00472DD2">
        <w:rPr>
          <w:rFonts w:ascii="Arial" w:hAnsi="Arial" w:cs="Arial"/>
          <w:sz w:val="20"/>
          <w:szCs w:val="20"/>
          <w:lang w:val="es-AR"/>
        </w:rPr>
        <w:t>bio</w:t>
      </w:r>
      <w:r w:rsidR="00446B6F">
        <w:rPr>
          <w:rFonts w:ascii="Arial" w:hAnsi="Arial" w:cs="Arial"/>
          <w:sz w:val="20"/>
          <w:szCs w:val="20"/>
          <w:lang w:val="es-AR"/>
        </w:rPr>
        <w:t>-oil</w:t>
      </w:r>
      <w:proofErr w:type="spellEnd"/>
      <w:r w:rsidRPr="00472DD2">
        <w:rPr>
          <w:rFonts w:ascii="Arial" w:hAnsi="Arial" w:cs="Arial"/>
          <w:sz w:val="20"/>
          <w:szCs w:val="20"/>
          <w:lang w:val="es-AR"/>
        </w:rPr>
        <w:t>), una sólida (</w:t>
      </w:r>
      <w:proofErr w:type="spellStart"/>
      <w:r w:rsidRPr="00472DD2">
        <w:rPr>
          <w:rFonts w:ascii="Arial" w:hAnsi="Arial" w:cs="Arial"/>
          <w:sz w:val="20"/>
          <w:szCs w:val="20"/>
          <w:lang w:val="es-AR"/>
        </w:rPr>
        <w:t>bio</w:t>
      </w:r>
      <w:proofErr w:type="spellEnd"/>
      <w:r w:rsidR="00446B6F">
        <w:rPr>
          <w:rFonts w:ascii="Arial" w:hAnsi="Arial" w:cs="Arial"/>
          <w:sz w:val="20"/>
          <w:szCs w:val="20"/>
          <w:lang w:val="es-AR"/>
        </w:rPr>
        <w:t>-</w:t>
      </w:r>
      <w:r w:rsidRPr="00472DD2">
        <w:rPr>
          <w:rFonts w:ascii="Arial" w:hAnsi="Arial" w:cs="Arial"/>
          <w:sz w:val="20"/>
          <w:szCs w:val="20"/>
          <w:lang w:val="es-AR"/>
        </w:rPr>
        <w:t>carbón) y gases.</w:t>
      </w:r>
      <w:r w:rsidR="007B240A">
        <w:rPr>
          <w:rFonts w:ascii="Arial" w:hAnsi="Arial" w:cs="Arial"/>
          <w:sz w:val="20"/>
          <w:szCs w:val="20"/>
          <w:lang w:val="es-AR"/>
        </w:rPr>
        <w:t xml:space="preserve"> </w:t>
      </w:r>
      <w:r w:rsidR="00446B6F">
        <w:rPr>
          <w:rFonts w:ascii="Arial" w:hAnsi="Arial" w:cs="Arial"/>
          <w:sz w:val="20"/>
          <w:szCs w:val="20"/>
          <w:lang w:val="es-AR"/>
        </w:rPr>
        <w:t xml:space="preserve">El </w:t>
      </w:r>
      <w:proofErr w:type="spellStart"/>
      <w:r w:rsidR="00446B6F">
        <w:rPr>
          <w:rFonts w:ascii="Arial" w:hAnsi="Arial" w:cs="Arial"/>
          <w:sz w:val="20"/>
          <w:szCs w:val="20"/>
          <w:lang w:val="es-AR"/>
        </w:rPr>
        <w:t>bio-oil</w:t>
      </w:r>
      <w:proofErr w:type="spellEnd"/>
      <w:r w:rsidRPr="00472DD2">
        <w:rPr>
          <w:rFonts w:ascii="Arial" w:hAnsi="Arial" w:cs="Arial"/>
          <w:sz w:val="20"/>
          <w:szCs w:val="20"/>
          <w:lang w:val="es-AR"/>
        </w:rPr>
        <w:t xml:space="preserve"> es un combustible líquido que podría utilizarse </w:t>
      </w:r>
      <w:r w:rsidR="00446B6F">
        <w:rPr>
          <w:rFonts w:ascii="Arial" w:hAnsi="Arial" w:cs="Arial"/>
          <w:sz w:val="20"/>
          <w:szCs w:val="20"/>
          <w:lang w:val="es-AR"/>
        </w:rPr>
        <w:t>como sustituto del fuel-</w:t>
      </w:r>
      <w:proofErr w:type="spellStart"/>
      <w:r w:rsidR="00446B6F">
        <w:rPr>
          <w:rFonts w:ascii="Arial" w:hAnsi="Arial" w:cs="Arial"/>
          <w:sz w:val="20"/>
          <w:szCs w:val="20"/>
          <w:lang w:val="es-AR"/>
        </w:rPr>
        <w:t>oil</w:t>
      </w:r>
      <w:proofErr w:type="spellEnd"/>
      <w:r w:rsidR="00446B6F">
        <w:rPr>
          <w:rFonts w:ascii="Arial" w:hAnsi="Arial" w:cs="Arial"/>
          <w:sz w:val="20"/>
          <w:szCs w:val="20"/>
          <w:lang w:val="es-AR"/>
        </w:rPr>
        <w:t xml:space="preserve">. </w:t>
      </w:r>
      <w:r w:rsidRPr="00472DD2">
        <w:rPr>
          <w:rFonts w:ascii="Arial" w:hAnsi="Arial" w:cs="Arial"/>
          <w:sz w:val="20"/>
          <w:szCs w:val="20"/>
          <w:lang w:val="es-AR"/>
        </w:rPr>
        <w:t xml:space="preserve">Sin embargo, se obtiene una alta concentración de compuestos </w:t>
      </w:r>
      <w:r w:rsidR="000551AA">
        <w:rPr>
          <w:rFonts w:ascii="Arial" w:hAnsi="Arial" w:cs="Arial"/>
          <w:sz w:val="20"/>
          <w:szCs w:val="20"/>
          <w:lang w:val="es-AR"/>
        </w:rPr>
        <w:t>oxigenados</w:t>
      </w:r>
      <w:r w:rsidR="00F23153">
        <w:rPr>
          <w:rFonts w:ascii="Arial" w:hAnsi="Arial" w:cs="Arial"/>
          <w:sz w:val="20"/>
          <w:szCs w:val="20"/>
          <w:lang w:val="es-AR"/>
        </w:rPr>
        <w:t xml:space="preserve"> y baja de hidrocarburos,</w:t>
      </w:r>
      <w:r w:rsidRPr="00472DD2">
        <w:rPr>
          <w:rFonts w:ascii="Arial" w:hAnsi="Arial" w:cs="Arial"/>
          <w:sz w:val="20"/>
          <w:szCs w:val="20"/>
          <w:lang w:val="es-AR"/>
        </w:rPr>
        <w:t xml:space="preserve"> </w:t>
      </w:r>
      <w:r w:rsidR="000551AA">
        <w:rPr>
          <w:rFonts w:ascii="Arial" w:hAnsi="Arial" w:cs="Arial"/>
          <w:sz w:val="20"/>
          <w:szCs w:val="20"/>
          <w:lang w:val="es-AR"/>
        </w:rPr>
        <w:t>generando una</w:t>
      </w:r>
      <w:r w:rsidRPr="00472DD2">
        <w:rPr>
          <w:rFonts w:ascii="Arial" w:hAnsi="Arial" w:cs="Arial"/>
          <w:sz w:val="20"/>
          <w:szCs w:val="20"/>
          <w:lang w:val="es-AR"/>
        </w:rPr>
        <w:t xml:space="preserve"> estabilidad reducida y un poder calorífico pobre. Proponemos el uso de las zeolitas antes mencionadas como catalizadores para las reacciones de craqueo </w:t>
      </w:r>
      <w:r w:rsidRPr="00446B6F">
        <w:rPr>
          <w:rFonts w:ascii="Arial" w:hAnsi="Arial" w:cs="Arial"/>
          <w:i/>
          <w:sz w:val="20"/>
          <w:szCs w:val="20"/>
          <w:lang w:val="es-AR"/>
        </w:rPr>
        <w:t>in situ</w:t>
      </w:r>
      <w:r w:rsidRPr="00472DD2">
        <w:rPr>
          <w:rFonts w:ascii="Arial" w:hAnsi="Arial" w:cs="Arial"/>
          <w:sz w:val="20"/>
          <w:szCs w:val="20"/>
          <w:lang w:val="es-AR"/>
        </w:rPr>
        <w:t xml:space="preserve"> </w:t>
      </w:r>
      <w:r w:rsidR="003E24A4">
        <w:rPr>
          <w:rFonts w:ascii="Arial" w:hAnsi="Arial" w:cs="Arial"/>
          <w:sz w:val="20"/>
          <w:szCs w:val="20"/>
          <w:lang w:val="es-AR"/>
        </w:rPr>
        <w:t>de forma tal de</w:t>
      </w:r>
      <w:r w:rsidRPr="00472DD2">
        <w:rPr>
          <w:rFonts w:ascii="Arial" w:hAnsi="Arial" w:cs="Arial"/>
          <w:sz w:val="20"/>
          <w:szCs w:val="20"/>
          <w:lang w:val="es-AR"/>
        </w:rPr>
        <w:t xml:space="preserve"> </w:t>
      </w:r>
      <w:r w:rsidR="003E24A4" w:rsidRPr="00201107">
        <w:rPr>
          <w:rFonts w:ascii="Arial" w:hAnsi="Arial" w:cs="Arial"/>
          <w:sz w:val="20"/>
          <w:szCs w:val="20"/>
          <w:lang w:val="es-AR"/>
        </w:rPr>
        <w:t>obtener mayores rendimientos de hidrocarburos</w:t>
      </w:r>
      <w:r w:rsidR="00F23153">
        <w:rPr>
          <w:rFonts w:ascii="Arial" w:hAnsi="Arial" w:cs="Arial"/>
          <w:sz w:val="20"/>
          <w:szCs w:val="20"/>
          <w:lang w:val="es-AR"/>
        </w:rPr>
        <w:t xml:space="preserve"> en </w:t>
      </w:r>
      <w:proofErr w:type="spellStart"/>
      <w:r w:rsidR="00F23153">
        <w:rPr>
          <w:rFonts w:ascii="Arial" w:hAnsi="Arial" w:cs="Arial"/>
          <w:sz w:val="20"/>
          <w:szCs w:val="20"/>
          <w:lang w:val="es-AR"/>
        </w:rPr>
        <w:t>bio-oils</w:t>
      </w:r>
      <w:proofErr w:type="spellEnd"/>
      <w:r w:rsidR="00F23153">
        <w:rPr>
          <w:rFonts w:ascii="Arial" w:hAnsi="Arial" w:cs="Arial"/>
          <w:sz w:val="20"/>
          <w:szCs w:val="20"/>
          <w:lang w:val="es-AR"/>
        </w:rPr>
        <w:t xml:space="preserve"> de </w:t>
      </w:r>
      <w:proofErr w:type="spellStart"/>
      <w:r w:rsidR="00F23153">
        <w:rPr>
          <w:rFonts w:ascii="Arial" w:hAnsi="Arial" w:cs="Arial"/>
          <w:sz w:val="20"/>
          <w:szCs w:val="20"/>
          <w:lang w:val="es-AR"/>
        </w:rPr>
        <w:t>pirólisis</w:t>
      </w:r>
      <w:proofErr w:type="spellEnd"/>
      <w:r w:rsidR="00F23153">
        <w:rPr>
          <w:rFonts w:ascii="Arial" w:hAnsi="Arial" w:cs="Arial"/>
          <w:sz w:val="20"/>
          <w:szCs w:val="20"/>
          <w:lang w:val="es-AR"/>
        </w:rPr>
        <w:t xml:space="preserve"> de cáscara de maní. </w:t>
      </w:r>
    </w:p>
    <w:p w14:paraId="4FEBE357" w14:textId="77777777" w:rsidR="00FB5DC1" w:rsidRDefault="00A47B08" w:rsidP="007C5A44">
      <w:pPr>
        <w:spacing w:after="0" w:line="240" w:lineRule="auto"/>
        <w:jc w:val="both"/>
        <w:rPr>
          <w:rFonts w:ascii="Arial" w:hAnsi="Arial" w:cs="Arial"/>
          <w:b/>
          <w:sz w:val="20"/>
          <w:szCs w:val="20"/>
        </w:rPr>
      </w:pPr>
      <w:r w:rsidRPr="00A47B08">
        <w:rPr>
          <w:rFonts w:ascii="Arial" w:hAnsi="Arial" w:cs="Arial"/>
          <w:b/>
          <w:sz w:val="20"/>
          <w:szCs w:val="20"/>
        </w:rPr>
        <w:t>Materiales y métodos</w:t>
      </w:r>
    </w:p>
    <w:p w14:paraId="1FA1EB11" w14:textId="21C39B82" w:rsidR="00014516" w:rsidRPr="00014516" w:rsidRDefault="00014516" w:rsidP="00B97E25">
      <w:pPr>
        <w:spacing w:after="0" w:line="240" w:lineRule="auto"/>
        <w:jc w:val="both"/>
        <w:rPr>
          <w:rFonts w:ascii="Arial" w:hAnsi="Arial" w:cs="Arial"/>
          <w:b/>
          <w:sz w:val="20"/>
          <w:szCs w:val="20"/>
          <w:lang w:val="es-AR"/>
        </w:rPr>
      </w:pPr>
      <w:r w:rsidRPr="00014516">
        <w:rPr>
          <w:rFonts w:ascii="Arial" w:hAnsi="Arial" w:cs="Arial"/>
          <w:b/>
          <w:sz w:val="20"/>
          <w:szCs w:val="20"/>
          <w:lang w:val="es-AR"/>
        </w:rPr>
        <w:t>Biomasa</w:t>
      </w:r>
    </w:p>
    <w:p w14:paraId="2A066477" w14:textId="77777777" w:rsidR="00B97E25" w:rsidRDefault="00B97E25" w:rsidP="00B97E25">
      <w:pPr>
        <w:spacing w:after="0" w:line="240" w:lineRule="auto"/>
        <w:jc w:val="both"/>
        <w:rPr>
          <w:rFonts w:ascii="Arial" w:hAnsi="Arial" w:cs="Arial"/>
          <w:sz w:val="20"/>
          <w:szCs w:val="20"/>
          <w:lang w:val="es-AR"/>
        </w:rPr>
      </w:pPr>
      <w:r w:rsidRPr="00B97E25">
        <w:rPr>
          <w:rFonts w:ascii="Arial" w:hAnsi="Arial" w:cs="Arial"/>
          <w:sz w:val="20"/>
          <w:szCs w:val="20"/>
          <w:lang w:val="es-AR"/>
        </w:rPr>
        <w:t xml:space="preserve">La cáscara de maní provista por la empresa </w:t>
      </w:r>
      <w:proofErr w:type="spellStart"/>
      <w:r w:rsidRPr="00B97E25">
        <w:rPr>
          <w:rFonts w:ascii="Arial" w:hAnsi="Arial" w:cs="Arial"/>
          <w:sz w:val="20"/>
          <w:szCs w:val="20"/>
          <w:lang w:val="es-AR"/>
        </w:rPr>
        <w:t>Lorenzatti</w:t>
      </w:r>
      <w:proofErr w:type="spellEnd"/>
      <w:r w:rsidRPr="00B97E25">
        <w:rPr>
          <w:rFonts w:ascii="Arial" w:hAnsi="Arial" w:cs="Arial"/>
          <w:sz w:val="20"/>
          <w:szCs w:val="20"/>
          <w:lang w:val="es-AR"/>
        </w:rPr>
        <w:t xml:space="preserve">, </w:t>
      </w:r>
      <w:proofErr w:type="spellStart"/>
      <w:r w:rsidRPr="00B97E25">
        <w:rPr>
          <w:rFonts w:ascii="Arial" w:hAnsi="Arial" w:cs="Arial"/>
          <w:sz w:val="20"/>
          <w:szCs w:val="20"/>
          <w:lang w:val="es-AR"/>
        </w:rPr>
        <w:t>Ruetsch</w:t>
      </w:r>
      <w:proofErr w:type="spellEnd"/>
      <w:r w:rsidRPr="00B97E25">
        <w:rPr>
          <w:rFonts w:ascii="Arial" w:hAnsi="Arial" w:cs="Arial"/>
          <w:sz w:val="20"/>
          <w:szCs w:val="20"/>
          <w:lang w:val="es-AR"/>
        </w:rPr>
        <w:t xml:space="preserve"> y </w:t>
      </w:r>
      <w:proofErr w:type="spellStart"/>
      <w:r w:rsidRPr="00B97E25">
        <w:rPr>
          <w:rFonts w:ascii="Arial" w:hAnsi="Arial" w:cs="Arial"/>
          <w:sz w:val="20"/>
          <w:szCs w:val="20"/>
          <w:lang w:val="es-AR"/>
        </w:rPr>
        <w:t>Cia</w:t>
      </w:r>
      <w:proofErr w:type="spellEnd"/>
      <w:r w:rsidRPr="00B97E25">
        <w:rPr>
          <w:rFonts w:ascii="Arial" w:hAnsi="Arial" w:cs="Arial"/>
          <w:sz w:val="20"/>
          <w:szCs w:val="20"/>
          <w:lang w:val="es-AR"/>
        </w:rPr>
        <w:t xml:space="preserve">., </w:t>
      </w:r>
      <w:proofErr w:type="spellStart"/>
      <w:r w:rsidRPr="00B97E25">
        <w:rPr>
          <w:rFonts w:ascii="Arial" w:hAnsi="Arial" w:cs="Arial"/>
          <w:sz w:val="20"/>
          <w:szCs w:val="20"/>
          <w:lang w:val="es-AR"/>
        </w:rPr>
        <w:t>Ticino</w:t>
      </w:r>
      <w:proofErr w:type="spellEnd"/>
      <w:r w:rsidRPr="00B97E25">
        <w:rPr>
          <w:rFonts w:ascii="Arial" w:hAnsi="Arial" w:cs="Arial"/>
          <w:sz w:val="20"/>
          <w:szCs w:val="20"/>
          <w:lang w:val="es-AR"/>
        </w:rPr>
        <w:t>, Córdoba, Argentina, pasó por un proceso de lavado co</w:t>
      </w:r>
      <w:r>
        <w:rPr>
          <w:rFonts w:ascii="Arial" w:hAnsi="Arial" w:cs="Arial"/>
          <w:sz w:val="20"/>
          <w:szCs w:val="20"/>
          <w:lang w:val="es-AR"/>
        </w:rPr>
        <w:t>n agua, secado en estufa a 105 °</w:t>
      </w:r>
      <w:r w:rsidRPr="00B97E25">
        <w:rPr>
          <w:rFonts w:ascii="Arial" w:hAnsi="Arial" w:cs="Arial"/>
          <w:sz w:val="20"/>
          <w:szCs w:val="20"/>
          <w:lang w:val="es-AR"/>
        </w:rPr>
        <w:t>C hasta peso constante, molido y tamizado para lograr un tamaño de par</w:t>
      </w:r>
      <w:r>
        <w:rPr>
          <w:rFonts w:ascii="Arial" w:hAnsi="Arial" w:cs="Arial"/>
          <w:sz w:val="20"/>
          <w:szCs w:val="20"/>
          <w:lang w:val="es-AR"/>
        </w:rPr>
        <w:t>tícula de diámetro inferior a 3,</w:t>
      </w:r>
      <w:r w:rsidRPr="00B97E25">
        <w:rPr>
          <w:rFonts w:ascii="Arial" w:hAnsi="Arial" w:cs="Arial"/>
          <w:sz w:val="20"/>
          <w:szCs w:val="20"/>
          <w:lang w:val="es-AR"/>
        </w:rPr>
        <w:t xml:space="preserve">35 mm (ASTM E-11/95). </w:t>
      </w:r>
    </w:p>
    <w:p w14:paraId="683183C5" w14:textId="1FDAB08B" w:rsidR="00014516" w:rsidRPr="00014516" w:rsidRDefault="00014516" w:rsidP="00B97E25">
      <w:pPr>
        <w:spacing w:after="0" w:line="240" w:lineRule="auto"/>
        <w:jc w:val="both"/>
        <w:rPr>
          <w:rFonts w:ascii="Arial" w:hAnsi="Arial" w:cs="Arial"/>
          <w:b/>
          <w:bCs/>
          <w:iCs/>
          <w:sz w:val="20"/>
          <w:szCs w:val="20"/>
          <w:lang w:val="es-AR"/>
        </w:rPr>
      </w:pPr>
      <w:r w:rsidRPr="00014516">
        <w:rPr>
          <w:rFonts w:ascii="Arial" w:hAnsi="Arial" w:cs="Arial"/>
          <w:b/>
          <w:bCs/>
          <w:iCs/>
          <w:sz w:val="20"/>
          <w:szCs w:val="20"/>
          <w:lang w:val="es-AR"/>
        </w:rPr>
        <w:t>Síntesis y caracterización de catalizadores</w:t>
      </w:r>
    </w:p>
    <w:p w14:paraId="68159F5D" w14:textId="220AE612" w:rsidR="00C55833" w:rsidRDefault="00591A71" w:rsidP="0099542D">
      <w:pPr>
        <w:spacing w:after="0" w:line="240" w:lineRule="auto"/>
        <w:jc w:val="both"/>
        <w:rPr>
          <w:rFonts w:ascii="Arial" w:hAnsi="Arial" w:cs="Arial"/>
          <w:bCs/>
          <w:iCs/>
          <w:sz w:val="20"/>
          <w:szCs w:val="20"/>
          <w:lang w:val="es-AR"/>
        </w:rPr>
      </w:pPr>
      <w:r w:rsidRPr="00591A71">
        <w:rPr>
          <w:rFonts w:ascii="Arial" w:hAnsi="Arial" w:cs="Arial"/>
          <w:bCs/>
          <w:iCs/>
          <w:sz w:val="20"/>
          <w:szCs w:val="20"/>
          <w:lang w:val="es-AR"/>
        </w:rPr>
        <w:t xml:space="preserve">Las zeolitas </w:t>
      </w:r>
      <w:proofErr w:type="spellStart"/>
      <w:r w:rsidRPr="00591A71">
        <w:rPr>
          <w:rFonts w:ascii="Arial" w:hAnsi="Arial" w:cs="Arial"/>
          <w:bCs/>
          <w:iCs/>
          <w:sz w:val="20"/>
          <w:szCs w:val="20"/>
          <w:lang w:val="es-AR"/>
        </w:rPr>
        <w:t>microporosas</w:t>
      </w:r>
      <w:proofErr w:type="spellEnd"/>
      <w:r w:rsidRPr="00591A71">
        <w:rPr>
          <w:rFonts w:ascii="Arial" w:hAnsi="Arial" w:cs="Arial"/>
          <w:bCs/>
          <w:iCs/>
          <w:sz w:val="20"/>
          <w:szCs w:val="20"/>
          <w:lang w:val="es-AR"/>
        </w:rPr>
        <w:t xml:space="preserve"> </w:t>
      </w:r>
      <w:r w:rsidR="00C55833">
        <w:rPr>
          <w:rFonts w:ascii="Arial" w:hAnsi="Arial" w:cs="Arial"/>
          <w:bCs/>
          <w:iCs/>
          <w:sz w:val="20"/>
          <w:szCs w:val="20"/>
          <w:lang w:val="es-AR"/>
        </w:rPr>
        <w:t>(NH</w:t>
      </w:r>
      <w:r w:rsidR="00C55833">
        <w:rPr>
          <w:rFonts w:ascii="Arial" w:hAnsi="Arial" w:cs="Arial"/>
          <w:bCs/>
          <w:iCs/>
          <w:sz w:val="20"/>
          <w:szCs w:val="20"/>
          <w:vertAlign w:val="subscript"/>
          <w:lang w:val="es-AR"/>
        </w:rPr>
        <w:t>4</w:t>
      </w:r>
      <w:r>
        <w:rPr>
          <w:rFonts w:ascii="Arial" w:hAnsi="Arial" w:cs="Arial"/>
          <w:bCs/>
          <w:iCs/>
          <w:sz w:val="20"/>
          <w:szCs w:val="20"/>
          <w:lang w:val="es-AR"/>
        </w:rPr>
        <w:t>-</w:t>
      </w:r>
      <w:r w:rsidRPr="00591A71">
        <w:rPr>
          <w:rFonts w:ascii="Arial" w:hAnsi="Arial" w:cs="Arial"/>
          <w:bCs/>
          <w:iCs/>
          <w:sz w:val="20"/>
          <w:szCs w:val="20"/>
          <w:lang w:val="es-AR"/>
        </w:rPr>
        <w:t>ZSM-11</w:t>
      </w:r>
      <w:r w:rsidR="00C55833">
        <w:rPr>
          <w:rFonts w:ascii="Arial" w:hAnsi="Arial" w:cs="Arial"/>
          <w:bCs/>
          <w:iCs/>
          <w:sz w:val="20"/>
          <w:szCs w:val="20"/>
          <w:lang w:val="es-AR"/>
        </w:rPr>
        <w:t>)</w:t>
      </w:r>
      <w:r w:rsidRPr="00591A71">
        <w:rPr>
          <w:rFonts w:ascii="Arial" w:hAnsi="Arial" w:cs="Arial"/>
          <w:bCs/>
          <w:iCs/>
          <w:sz w:val="20"/>
          <w:szCs w:val="20"/>
          <w:lang w:val="es-AR"/>
        </w:rPr>
        <w:t xml:space="preserve"> se prepararon por síntesis </w:t>
      </w:r>
      <w:proofErr w:type="spellStart"/>
      <w:r w:rsidRPr="00591A71">
        <w:rPr>
          <w:rFonts w:ascii="Arial" w:hAnsi="Arial" w:cs="Arial"/>
          <w:bCs/>
          <w:iCs/>
          <w:sz w:val="20"/>
          <w:szCs w:val="20"/>
          <w:lang w:val="es-AR"/>
        </w:rPr>
        <w:t>hidrotérmica</w:t>
      </w:r>
      <w:proofErr w:type="spellEnd"/>
      <w:r w:rsidR="00C55833">
        <w:rPr>
          <w:rFonts w:ascii="Arial" w:hAnsi="Arial" w:cs="Arial"/>
          <w:bCs/>
          <w:iCs/>
          <w:sz w:val="20"/>
          <w:szCs w:val="20"/>
          <w:lang w:val="es-AR"/>
        </w:rPr>
        <w:t xml:space="preserve"> por métodos conocidos</w:t>
      </w:r>
      <w:r w:rsidR="000551AA">
        <w:rPr>
          <w:rFonts w:ascii="Arial" w:hAnsi="Arial" w:cs="Arial"/>
          <w:bCs/>
          <w:iCs/>
          <w:sz w:val="20"/>
          <w:szCs w:val="20"/>
          <w:lang w:val="es-AR"/>
        </w:rPr>
        <w:t xml:space="preserve"> </w:t>
      </w:r>
      <w:r w:rsidR="000551AA">
        <w:rPr>
          <w:rFonts w:ascii="Arial" w:hAnsi="Arial" w:cs="Arial"/>
          <w:bCs/>
          <w:iCs/>
          <w:sz w:val="20"/>
          <w:szCs w:val="20"/>
          <w:lang w:val="es-AR"/>
        </w:rPr>
        <w:fldChar w:fldCharType="begin" w:fldLock="1"/>
      </w:r>
      <w:r w:rsidR="00C55833">
        <w:rPr>
          <w:rFonts w:ascii="Arial" w:hAnsi="Arial" w:cs="Arial"/>
          <w:bCs/>
          <w:iCs/>
          <w:sz w:val="20"/>
          <w:szCs w:val="20"/>
          <w:lang w:val="es-AR"/>
        </w:rPr>
        <w:instrText>ADDIN CSL_CITATION {"citationItems":[{"id":"ITEM-1","itemData":{"DOI":"10.1016/j.jaap.2021.105116","ISSN":"01652370","abstract":"Considering the importance of biowaste valorization, peanut shell pyrolysis was studied. Products yields and composition were evaluated. Results were improved by heterogeneous catalysis of the fluid products. For this purpose, tin modified ZSM-11 zeolites were synthesized and thoroughly characterized. The materials were prepared by means of wet impregnation or alkaline treatment of the parent matrix and by hydrothermal synthesis with tin as heteroatom. Those porous crystalline solids were further evaluated in the thermo-catalytic pyrolysis of the lignocellulosic biowaste. The bio-oil composition was significantly affected by the selected catalysts. The obtained results were correlated with physicochemical characterization data. It was found that Sn incorporation by the wet impregnation method promotes Lewis and total acidity. This material gave the highest hydrocarbon and the lowest oxygenated selectivities in the bio-oil of the studied situations. Particularly, aromatic compounds were favored over it. In terms of poisoning, coke formation over the catalysts was low and easily removed by calcination.","author":[{"dropping-particle":"","family":"Galarza","given":"Emilce D.","non-dropping-particle":"","parse-names":false,"suffix":""},{"dropping-particle":"","family":"Fermanelli","given":"Carla S.","non-dropping-particle":"","parse-names":false,"suffix":""},{"dropping-particle":"","family":"Pierella","given":"Liliana B.","non-dropping-particle":"","parse-names":false,"suffix":""},{"dropping-particle":"","family":"Saux","given":"Clara","non-dropping-particle":"","parse-names":false,"suffix":""},{"dropping-particle":"","family":"Renzini","given":"María S.","non-dropping-particle":"","parse-names":false,"suffix":""}],"container-title":"Journal of Analytical and Applied Pyrolysis","id":"ITEM-1","issue":"December 2020","issued":{"date-parts":[["2021"]]},"page":"105116","publisher":"Elsevier B.V.","title":"Influence of the Sn incorporation method in ZSM-11 zeolites in the distribution of bio-oil products obtained from biomass pyrolysis","type":"article-journal","volume":"156"},"uris":["http://www.mendeley.com/documents/?uuid=54ff0d2b-02b3-4191-847e-b6a32e6486f4"]}],"mendeley":{"formattedCitation":"[2]","plainTextFormattedCitation":"[2]","previouslyFormattedCitation":"[2]"},"properties":{"noteIndex":0},"schema":"https://github.com/citation-style-language/schema/raw/master/csl-citation.json"}</w:instrText>
      </w:r>
      <w:r w:rsidR="000551AA">
        <w:rPr>
          <w:rFonts w:ascii="Arial" w:hAnsi="Arial" w:cs="Arial"/>
          <w:bCs/>
          <w:iCs/>
          <w:sz w:val="20"/>
          <w:szCs w:val="20"/>
          <w:lang w:val="es-AR"/>
        </w:rPr>
        <w:fldChar w:fldCharType="separate"/>
      </w:r>
      <w:r w:rsidR="000551AA" w:rsidRPr="000551AA">
        <w:rPr>
          <w:rFonts w:ascii="Arial" w:hAnsi="Arial" w:cs="Arial"/>
          <w:bCs/>
          <w:iCs/>
          <w:noProof/>
          <w:sz w:val="20"/>
          <w:szCs w:val="20"/>
          <w:lang w:val="es-AR"/>
        </w:rPr>
        <w:t>[2]</w:t>
      </w:r>
      <w:r w:rsidR="000551AA">
        <w:rPr>
          <w:rFonts w:ascii="Arial" w:hAnsi="Arial" w:cs="Arial"/>
          <w:bCs/>
          <w:iCs/>
          <w:sz w:val="20"/>
          <w:szCs w:val="20"/>
          <w:lang w:val="es-AR"/>
        </w:rPr>
        <w:fldChar w:fldCharType="end"/>
      </w:r>
      <w:r w:rsidR="000551AA">
        <w:rPr>
          <w:rFonts w:ascii="Arial" w:hAnsi="Arial" w:cs="Arial"/>
          <w:bCs/>
          <w:iCs/>
          <w:sz w:val="20"/>
          <w:szCs w:val="20"/>
          <w:lang w:val="es-AR"/>
        </w:rPr>
        <w:t>.</w:t>
      </w:r>
      <w:r w:rsidRPr="00591A71">
        <w:rPr>
          <w:rFonts w:ascii="Arial" w:hAnsi="Arial" w:cs="Arial"/>
          <w:bCs/>
          <w:iCs/>
          <w:sz w:val="20"/>
          <w:szCs w:val="20"/>
          <w:lang w:val="es-AR"/>
        </w:rPr>
        <w:t xml:space="preserve"> </w:t>
      </w:r>
      <w:r w:rsidR="00B97E25" w:rsidRPr="00B97E25">
        <w:rPr>
          <w:rFonts w:ascii="Arial" w:hAnsi="Arial" w:cs="Arial"/>
          <w:bCs/>
          <w:iCs/>
          <w:sz w:val="20"/>
          <w:szCs w:val="20"/>
          <w:lang w:val="es-AR"/>
        </w:rPr>
        <w:t>La generación de micro/</w:t>
      </w:r>
      <w:proofErr w:type="spellStart"/>
      <w:r w:rsidR="00B97E25" w:rsidRPr="00B97E25">
        <w:rPr>
          <w:rFonts w:ascii="Arial" w:hAnsi="Arial" w:cs="Arial"/>
          <w:bCs/>
          <w:iCs/>
          <w:sz w:val="20"/>
          <w:szCs w:val="20"/>
          <w:lang w:val="es-AR"/>
        </w:rPr>
        <w:t>mesoporosidad</w:t>
      </w:r>
      <w:proofErr w:type="spellEnd"/>
      <w:r w:rsidR="00B97E25" w:rsidRPr="00B97E25">
        <w:rPr>
          <w:rFonts w:ascii="Arial" w:hAnsi="Arial" w:cs="Arial"/>
          <w:bCs/>
          <w:iCs/>
          <w:sz w:val="20"/>
          <w:szCs w:val="20"/>
          <w:lang w:val="es-AR"/>
        </w:rPr>
        <w:t xml:space="preserve"> en los materiales </w:t>
      </w:r>
      <w:proofErr w:type="spellStart"/>
      <w:r w:rsidR="00B97E25" w:rsidRPr="00B97E25">
        <w:rPr>
          <w:rFonts w:ascii="Arial" w:hAnsi="Arial" w:cs="Arial"/>
          <w:bCs/>
          <w:iCs/>
          <w:sz w:val="20"/>
          <w:szCs w:val="20"/>
          <w:lang w:val="es-AR"/>
        </w:rPr>
        <w:t>zeolíticos</w:t>
      </w:r>
      <w:proofErr w:type="spellEnd"/>
      <w:r w:rsidR="00C55833">
        <w:rPr>
          <w:rFonts w:ascii="Arial" w:hAnsi="Arial" w:cs="Arial"/>
          <w:bCs/>
          <w:iCs/>
          <w:sz w:val="20"/>
          <w:szCs w:val="20"/>
          <w:lang w:val="es-AR"/>
        </w:rPr>
        <w:t xml:space="preserve"> </w:t>
      </w:r>
      <w:r w:rsidR="00B97E25" w:rsidRPr="00B97E25">
        <w:rPr>
          <w:rFonts w:ascii="Arial" w:hAnsi="Arial" w:cs="Arial"/>
          <w:bCs/>
          <w:iCs/>
          <w:sz w:val="20"/>
          <w:szCs w:val="20"/>
          <w:lang w:val="es-AR"/>
        </w:rPr>
        <w:t>se llevó a cabo por el</w:t>
      </w:r>
      <w:r w:rsidR="00B97E25">
        <w:rPr>
          <w:rFonts w:ascii="Arial" w:hAnsi="Arial" w:cs="Arial"/>
          <w:bCs/>
          <w:iCs/>
          <w:sz w:val="20"/>
          <w:szCs w:val="20"/>
          <w:lang w:val="es-AR"/>
        </w:rPr>
        <w:t xml:space="preserve"> </w:t>
      </w:r>
      <w:r w:rsidR="00B97E25" w:rsidRPr="00B97E25">
        <w:rPr>
          <w:rFonts w:ascii="Arial" w:hAnsi="Arial" w:cs="Arial"/>
          <w:bCs/>
          <w:iCs/>
          <w:sz w:val="20"/>
          <w:szCs w:val="20"/>
          <w:lang w:val="es-AR"/>
        </w:rPr>
        <w:t xml:space="preserve">método de </w:t>
      </w:r>
      <w:proofErr w:type="spellStart"/>
      <w:r w:rsidR="00B97E25" w:rsidRPr="00B97E25">
        <w:rPr>
          <w:rFonts w:ascii="Arial" w:hAnsi="Arial" w:cs="Arial"/>
          <w:bCs/>
          <w:iCs/>
          <w:sz w:val="20"/>
          <w:szCs w:val="20"/>
          <w:lang w:val="es-AR"/>
        </w:rPr>
        <w:t>desilicación</w:t>
      </w:r>
      <w:proofErr w:type="spellEnd"/>
      <w:r w:rsidR="00C55833">
        <w:rPr>
          <w:rFonts w:ascii="Arial" w:hAnsi="Arial" w:cs="Arial"/>
          <w:bCs/>
          <w:iCs/>
          <w:sz w:val="20"/>
          <w:szCs w:val="20"/>
          <w:lang w:val="es-AR"/>
        </w:rPr>
        <w:t xml:space="preserve"> </w:t>
      </w:r>
      <w:r w:rsidR="00C55833">
        <w:rPr>
          <w:rFonts w:ascii="Arial" w:hAnsi="Arial" w:cs="Arial"/>
          <w:bCs/>
          <w:iCs/>
          <w:sz w:val="20"/>
          <w:szCs w:val="20"/>
          <w:lang w:val="es-AR"/>
        </w:rPr>
        <w:fldChar w:fldCharType="begin" w:fldLock="1"/>
      </w:r>
      <w:r w:rsidR="00C55833">
        <w:rPr>
          <w:rFonts w:ascii="Arial" w:hAnsi="Arial" w:cs="Arial"/>
          <w:bCs/>
          <w:iCs/>
          <w:sz w:val="20"/>
          <w:szCs w:val="20"/>
          <w:lang w:val="es-AR"/>
        </w:rPr>
        <w:instrText>ADDIN CSL_CITATION {"citationItems":[{"id":"ITEM-1","itemData":{"DOI":"10.1039/c9nj04106k","ISSN":"13699261","abstract":"Copper and chromium supported on ZSM-11 (MEL-type structure) microporous zeolites were investigated as catalysts for glycerol oxidation towards dihydroxyacetone and lactic acid. ZSM-11 was synthesized by hydrothermal crystallization. Subsequently, alkaline treatment of desilication was carried out in order to generate zeolites with micro-mesoporosity. Ion exchange with ammonium chloride was performed to recover acidic sites and then, Cr(iii) and Cu(ii) species were incorporated onto these materials. Finally, thermal treatment at 500 °C was carried out. These materials were characterized by different techniques and then evaluated in the glycerol oxidation reaction by employing H2O2 as an oxidizing agent. The maximum conversion of glycerol (</w:instrText>
      </w:r>
      <w:r w:rsidR="00C55833">
        <w:rPr>
          <w:rFonts w:ascii="Cambria Math" w:hAnsi="Cambria Math" w:cs="Cambria Math"/>
          <w:bCs/>
          <w:iCs/>
          <w:sz w:val="20"/>
          <w:szCs w:val="20"/>
          <w:lang w:val="es-AR"/>
        </w:rPr>
        <w:instrText>∼</w:instrText>
      </w:r>
      <w:r w:rsidR="00C55833">
        <w:rPr>
          <w:rFonts w:ascii="Arial" w:hAnsi="Arial" w:cs="Arial"/>
          <w:bCs/>
          <w:iCs/>
          <w:sz w:val="20"/>
          <w:szCs w:val="20"/>
          <w:lang w:val="es-AR"/>
        </w:rPr>
        <w:instrText xml:space="preserve">70%) was reached over the Cr-ZSM-11 catalyst with a selectivity of </w:instrText>
      </w:r>
      <w:r w:rsidR="00C55833">
        <w:rPr>
          <w:rFonts w:ascii="Cambria Math" w:hAnsi="Cambria Math" w:cs="Cambria Math"/>
          <w:bCs/>
          <w:iCs/>
          <w:sz w:val="20"/>
          <w:szCs w:val="20"/>
          <w:lang w:val="es-AR"/>
        </w:rPr>
        <w:instrText>∼</w:instrText>
      </w:r>
      <w:r w:rsidR="00C55833">
        <w:rPr>
          <w:rFonts w:ascii="Arial" w:hAnsi="Arial" w:cs="Arial"/>
          <w:bCs/>
          <w:iCs/>
          <w:sz w:val="20"/>
          <w:szCs w:val="20"/>
          <w:lang w:val="es-AR"/>
        </w:rPr>
        <w:instrText>28% towards dihydroxyacetone. Meanwhile, Cu-ZSM-11 offered 50% glycerol conversion with a selectivity of 68% towards lactic acid. In both the cases, the optimal reaction conditions were studied to maximize the selectivity towards the products mentioned above.","author":[{"dropping-particle":"","family":"Diguilio","given":"Eliana","non-dropping-particle":"","parse-names":false,"suffix":""},{"dropping-particle":"","family":"Galarza","given":"Emilce D.","non-dropping-particle":"","parse-names":false,"suffix":""},{"dropping-particle":"","family":"Domine","given":"Marcelo E.","non-dropping-particle":"","parse-names":false,"suffix":""},{"dropping-particle":"","family":"Pierella","given":"Liliana B.","non-dropping-particle":"","parse-names":false,"suffix":""},{"dropping-particle":"","family":"Renzini","given":"María S.","non-dropping-particle":"","parse-names":false,"suffix":""}],"container-title":"New Journal of Chemistry","id":"ITEM-1","issue":"11","issued":{"date-parts":[["2020"]]},"page":"4363-4375","title":"Tuning product selectivity in the catalytic oxidation of glycerol by employing metal-ZSM-11 materials","type":"article-journal","volume":"44"},"uris":["http://www.mendeley.com/documents/?uuid=ad26ab8e-265c-432d-b556-54f29d8a4eee"]}],"mendeley":{"formattedCitation":"[3]","plainTextFormattedCitation":"[3]","previouslyFormattedCitation":"[3]"},"properties":{"noteIndex":0},"schema":"https://github.com/citation-style-language/schema/raw/master/csl-citation.json"}</w:instrText>
      </w:r>
      <w:r w:rsidR="00C55833">
        <w:rPr>
          <w:rFonts w:ascii="Arial" w:hAnsi="Arial" w:cs="Arial"/>
          <w:bCs/>
          <w:iCs/>
          <w:sz w:val="20"/>
          <w:szCs w:val="20"/>
          <w:lang w:val="es-AR"/>
        </w:rPr>
        <w:fldChar w:fldCharType="separate"/>
      </w:r>
      <w:r w:rsidR="00C55833" w:rsidRPr="00C55833">
        <w:rPr>
          <w:rFonts w:ascii="Arial" w:hAnsi="Arial" w:cs="Arial"/>
          <w:bCs/>
          <w:iCs/>
          <w:noProof/>
          <w:sz w:val="20"/>
          <w:szCs w:val="20"/>
          <w:lang w:val="es-AR"/>
        </w:rPr>
        <w:t>[3]</w:t>
      </w:r>
      <w:r w:rsidR="00C55833">
        <w:rPr>
          <w:rFonts w:ascii="Arial" w:hAnsi="Arial" w:cs="Arial"/>
          <w:bCs/>
          <w:iCs/>
          <w:sz w:val="20"/>
          <w:szCs w:val="20"/>
          <w:lang w:val="es-AR"/>
        </w:rPr>
        <w:fldChar w:fldCharType="end"/>
      </w:r>
      <w:r w:rsidR="00B97E25" w:rsidRPr="00B97E25">
        <w:rPr>
          <w:rFonts w:ascii="Arial" w:hAnsi="Arial" w:cs="Arial"/>
          <w:bCs/>
          <w:iCs/>
          <w:sz w:val="20"/>
          <w:szCs w:val="20"/>
          <w:lang w:val="es-AR"/>
        </w:rPr>
        <w:t>, es decir, la hidrólisis del enlace Si-O-Si mediante el tratamiento</w:t>
      </w:r>
      <w:r w:rsidR="00B97E25">
        <w:rPr>
          <w:rFonts w:ascii="Arial" w:hAnsi="Arial" w:cs="Arial"/>
          <w:bCs/>
          <w:iCs/>
          <w:sz w:val="20"/>
          <w:szCs w:val="20"/>
          <w:lang w:val="es-AR"/>
        </w:rPr>
        <w:t xml:space="preserve"> </w:t>
      </w:r>
      <w:r w:rsidR="00B97E25" w:rsidRPr="00B97E25">
        <w:rPr>
          <w:rFonts w:ascii="Arial" w:hAnsi="Arial" w:cs="Arial"/>
          <w:bCs/>
          <w:iCs/>
          <w:sz w:val="20"/>
          <w:szCs w:val="20"/>
          <w:lang w:val="es-AR"/>
        </w:rPr>
        <w:t xml:space="preserve">alcalino, con </w:t>
      </w:r>
      <w:proofErr w:type="spellStart"/>
      <w:r w:rsidR="00B97E25" w:rsidRPr="00B97E25">
        <w:rPr>
          <w:rFonts w:ascii="Arial" w:hAnsi="Arial" w:cs="Arial"/>
          <w:bCs/>
          <w:iCs/>
          <w:sz w:val="20"/>
          <w:szCs w:val="20"/>
          <w:lang w:val="es-AR"/>
        </w:rPr>
        <w:t>NaOH</w:t>
      </w:r>
      <w:proofErr w:type="spellEnd"/>
      <w:r w:rsidR="00C55833">
        <w:rPr>
          <w:rFonts w:ascii="Arial" w:hAnsi="Arial" w:cs="Arial"/>
          <w:bCs/>
          <w:iCs/>
          <w:sz w:val="20"/>
          <w:szCs w:val="20"/>
          <w:lang w:val="es-AR"/>
        </w:rPr>
        <w:t>; obteniendo la zeolita NH</w:t>
      </w:r>
      <w:r w:rsidR="00C55833">
        <w:rPr>
          <w:rFonts w:ascii="Arial" w:hAnsi="Arial" w:cs="Arial"/>
          <w:bCs/>
          <w:iCs/>
          <w:sz w:val="20"/>
          <w:szCs w:val="20"/>
          <w:vertAlign w:val="subscript"/>
          <w:lang w:val="es-AR"/>
        </w:rPr>
        <w:t>4</w:t>
      </w:r>
      <w:r w:rsidR="00C55833">
        <w:rPr>
          <w:rFonts w:ascii="Arial" w:hAnsi="Arial" w:cs="Arial"/>
          <w:bCs/>
          <w:iCs/>
          <w:sz w:val="20"/>
          <w:szCs w:val="20"/>
          <w:lang w:val="es-AR"/>
        </w:rPr>
        <w:t>-</w:t>
      </w:r>
      <w:r w:rsidR="00C55833" w:rsidRPr="00591A71">
        <w:rPr>
          <w:rFonts w:ascii="Arial" w:hAnsi="Arial" w:cs="Arial"/>
          <w:bCs/>
          <w:iCs/>
          <w:sz w:val="20"/>
          <w:szCs w:val="20"/>
          <w:lang w:val="es-AR"/>
        </w:rPr>
        <w:t>ZSM-11</w:t>
      </w:r>
      <w:r w:rsidR="00C55833">
        <w:rPr>
          <w:rFonts w:ascii="Arial" w:hAnsi="Arial" w:cs="Arial"/>
          <w:bCs/>
          <w:iCs/>
          <w:sz w:val="20"/>
          <w:szCs w:val="20"/>
          <w:lang w:val="es-AR"/>
        </w:rPr>
        <w:t>(T).</w:t>
      </w:r>
      <w:r w:rsidR="00B97E25" w:rsidRPr="00B97E25">
        <w:rPr>
          <w:rFonts w:ascii="Arial" w:hAnsi="Arial" w:cs="Arial"/>
          <w:bCs/>
          <w:iCs/>
          <w:sz w:val="20"/>
          <w:szCs w:val="20"/>
          <w:lang w:val="es-AR"/>
        </w:rPr>
        <w:t xml:space="preserve"> Este procedimiento permite la formación de poros de mayor tamaño</w:t>
      </w:r>
      <w:r w:rsidR="00B97E25">
        <w:rPr>
          <w:rFonts w:ascii="Arial" w:hAnsi="Arial" w:cs="Arial"/>
          <w:bCs/>
          <w:iCs/>
          <w:sz w:val="20"/>
          <w:szCs w:val="20"/>
          <w:lang w:val="es-AR"/>
        </w:rPr>
        <w:t xml:space="preserve"> </w:t>
      </w:r>
      <w:r w:rsidR="00B97E25" w:rsidRPr="00B97E25">
        <w:rPr>
          <w:rFonts w:ascii="Arial" w:hAnsi="Arial" w:cs="Arial"/>
          <w:bCs/>
          <w:iCs/>
          <w:sz w:val="20"/>
          <w:szCs w:val="20"/>
          <w:lang w:val="es-AR"/>
        </w:rPr>
        <w:t xml:space="preserve">preservando las propiedades ácidas de la zeolita, así como su cristalinidad. </w:t>
      </w:r>
    </w:p>
    <w:p w14:paraId="58EB2840" w14:textId="208FB3D0" w:rsidR="0099542D" w:rsidRDefault="0099542D" w:rsidP="0099542D">
      <w:pPr>
        <w:spacing w:after="0" w:line="240" w:lineRule="auto"/>
        <w:jc w:val="both"/>
        <w:rPr>
          <w:rFonts w:ascii="Arial" w:hAnsi="Arial" w:cs="Arial"/>
          <w:bCs/>
          <w:iCs/>
          <w:sz w:val="20"/>
          <w:szCs w:val="20"/>
          <w:lang w:val="es-AR"/>
        </w:rPr>
      </w:pPr>
      <w:r w:rsidRPr="0099542D">
        <w:rPr>
          <w:rFonts w:ascii="Arial" w:hAnsi="Arial" w:cs="Arial"/>
          <w:bCs/>
          <w:iCs/>
          <w:sz w:val="20"/>
          <w:szCs w:val="20"/>
          <w:lang w:val="es-AR"/>
        </w:rPr>
        <w:t xml:space="preserve">A partir </w:t>
      </w:r>
      <w:r w:rsidR="005012F3">
        <w:rPr>
          <w:rFonts w:ascii="Arial" w:hAnsi="Arial" w:cs="Arial"/>
          <w:bCs/>
          <w:iCs/>
          <w:sz w:val="20"/>
          <w:szCs w:val="20"/>
          <w:lang w:val="es-AR"/>
        </w:rPr>
        <w:t xml:space="preserve">de las formas amonio de </w:t>
      </w:r>
      <w:r w:rsidR="00247825">
        <w:rPr>
          <w:rFonts w:ascii="Arial" w:hAnsi="Arial" w:cs="Arial"/>
          <w:bCs/>
          <w:iCs/>
          <w:sz w:val="20"/>
          <w:szCs w:val="20"/>
          <w:lang w:val="es-AR"/>
        </w:rPr>
        <w:t>ambas</w:t>
      </w:r>
      <w:r w:rsidR="005012F3">
        <w:rPr>
          <w:rFonts w:ascii="Arial" w:hAnsi="Arial" w:cs="Arial"/>
          <w:bCs/>
          <w:iCs/>
          <w:sz w:val="20"/>
          <w:szCs w:val="20"/>
          <w:lang w:val="es-AR"/>
        </w:rPr>
        <w:t xml:space="preserve"> zeolitas</w:t>
      </w:r>
      <w:r w:rsidRPr="0099542D">
        <w:rPr>
          <w:rFonts w:ascii="Arial" w:hAnsi="Arial" w:cs="Arial"/>
          <w:bCs/>
          <w:iCs/>
          <w:sz w:val="20"/>
          <w:szCs w:val="20"/>
          <w:lang w:val="es-AR"/>
        </w:rPr>
        <w:t xml:space="preserve"> se </w:t>
      </w:r>
      <w:r w:rsidR="00247825">
        <w:rPr>
          <w:rFonts w:ascii="Arial" w:hAnsi="Arial" w:cs="Arial"/>
          <w:bCs/>
          <w:iCs/>
          <w:sz w:val="20"/>
          <w:szCs w:val="20"/>
          <w:lang w:val="es-AR"/>
        </w:rPr>
        <w:t>obtuvieron las formas protónicas H-ZSM-11 y H-ZSM-11(T) y las formas Ni-zeolita</w:t>
      </w:r>
      <w:r w:rsidR="00D736EE">
        <w:rPr>
          <w:rFonts w:ascii="Arial" w:hAnsi="Arial" w:cs="Arial"/>
          <w:bCs/>
          <w:iCs/>
          <w:sz w:val="20"/>
          <w:szCs w:val="20"/>
          <w:lang w:val="es-AR"/>
        </w:rPr>
        <w:t>. Estas últimas,</w:t>
      </w:r>
      <w:r w:rsidR="00247825">
        <w:rPr>
          <w:rFonts w:ascii="Arial" w:hAnsi="Arial" w:cs="Arial"/>
          <w:bCs/>
          <w:iCs/>
          <w:sz w:val="20"/>
          <w:szCs w:val="20"/>
          <w:lang w:val="es-AR"/>
        </w:rPr>
        <w:t xml:space="preserve"> mediante una impregnación por vía húmeda con una </w:t>
      </w:r>
      <w:r w:rsidR="00247825" w:rsidRPr="0099542D">
        <w:rPr>
          <w:rFonts w:ascii="Arial" w:hAnsi="Arial" w:cs="Arial"/>
          <w:bCs/>
          <w:iCs/>
          <w:sz w:val="20"/>
          <w:szCs w:val="20"/>
          <w:lang w:val="es-AR"/>
        </w:rPr>
        <w:t>solución acuosa de NiCl</w:t>
      </w:r>
      <w:r w:rsidR="00247825" w:rsidRPr="0099542D">
        <w:rPr>
          <w:rFonts w:ascii="Arial" w:hAnsi="Arial" w:cs="Arial"/>
          <w:bCs/>
          <w:iCs/>
          <w:sz w:val="20"/>
          <w:szCs w:val="20"/>
          <w:vertAlign w:val="subscript"/>
          <w:lang w:val="es-AR"/>
        </w:rPr>
        <w:t>2</w:t>
      </w:r>
      <w:r w:rsidR="00247825" w:rsidRPr="0099542D">
        <w:rPr>
          <w:rFonts w:ascii="Arial" w:hAnsi="Arial" w:cs="Arial"/>
          <w:bCs/>
          <w:iCs/>
          <w:sz w:val="20"/>
          <w:szCs w:val="20"/>
          <w:lang w:val="es-AR"/>
        </w:rPr>
        <w:t>.6H</w:t>
      </w:r>
      <w:r w:rsidR="00247825" w:rsidRPr="0099542D">
        <w:rPr>
          <w:rFonts w:ascii="Arial" w:hAnsi="Arial" w:cs="Arial"/>
          <w:bCs/>
          <w:iCs/>
          <w:sz w:val="20"/>
          <w:szCs w:val="20"/>
          <w:vertAlign w:val="subscript"/>
          <w:lang w:val="es-AR"/>
        </w:rPr>
        <w:t>2</w:t>
      </w:r>
      <w:r w:rsidR="00247825" w:rsidRPr="0099542D">
        <w:rPr>
          <w:rFonts w:ascii="Arial" w:hAnsi="Arial" w:cs="Arial"/>
          <w:bCs/>
          <w:iCs/>
          <w:sz w:val="20"/>
          <w:szCs w:val="20"/>
          <w:lang w:val="es-AR"/>
        </w:rPr>
        <w:t>O incorporando</w:t>
      </w:r>
      <w:r w:rsidR="00247825">
        <w:rPr>
          <w:rFonts w:ascii="Arial" w:hAnsi="Arial" w:cs="Arial"/>
          <w:bCs/>
          <w:iCs/>
          <w:sz w:val="20"/>
          <w:szCs w:val="20"/>
          <w:lang w:val="es-AR"/>
        </w:rPr>
        <w:t xml:space="preserve"> 5 %p/p de Ni para la obtención de los materiales Ni-ZSM-11 y Ni-ZSM-11(T). </w:t>
      </w:r>
    </w:p>
    <w:p w14:paraId="61149D4E" w14:textId="121D1011" w:rsidR="00D736EE" w:rsidRPr="00A72B99" w:rsidRDefault="00D736EE" w:rsidP="00D736EE">
      <w:pPr>
        <w:spacing w:after="0" w:line="240" w:lineRule="auto"/>
        <w:jc w:val="both"/>
        <w:rPr>
          <w:rFonts w:ascii="Arial" w:hAnsi="Arial" w:cs="Arial"/>
          <w:bCs/>
          <w:iCs/>
          <w:sz w:val="20"/>
          <w:szCs w:val="20"/>
          <w:lang w:val="es-AR"/>
        </w:rPr>
      </w:pPr>
      <w:r w:rsidRPr="00D736EE">
        <w:rPr>
          <w:rFonts w:ascii="Arial" w:hAnsi="Arial" w:cs="Arial"/>
          <w:bCs/>
          <w:iCs/>
          <w:sz w:val="20"/>
          <w:szCs w:val="20"/>
          <w:lang w:val="es-AR"/>
        </w:rPr>
        <w:t xml:space="preserve">El área superficial de los materiales se determinó por el método </w:t>
      </w:r>
      <w:proofErr w:type="spellStart"/>
      <w:r w:rsidRPr="00D736EE">
        <w:rPr>
          <w:rFonts w:ascii="Arial" w:hAnsi="Arial" w:cs="Arial"/>
          <w:bCs/>
          <w:iCs/>
          <w:sz w:val="20"/>
          <w:szCs w:val="20"/>
          <w:lang w:val="es-AR"/>
        </w:rPr>
        <w:t>Brunauer-Emmet-Teller</w:t>
      </w:r>
      <w:proofErr w:type="spellEnd"/>
      <w:r w:rsidRPr="00D736EE">
        <w:rPr>
          <w:rFonts w:ascii="Arial" w:hAnsi="Arial" w:cs="Arial"/>
          <w:bCs/>
          <w:iCs/>
          <w:sz w:val="20"/>
          <w:szCs w:val="20"/>
          <w:lang w:val="es-AR"/>
        </w:rPr>
        <w:t xml:space="preserve"> (BET) en un equipo Pulse </w:t>
      </w:r>
      <w:proofErr w:type="spellStart"/>
      <w:r w:rsidRPr="00D736EE">
        <w:rPr>
          <w:rFonts w:ascii="Arial" w:hAnsi="Arial" w:cs="Arial"/>
          <w:bCs/>
          <w:iCs/>
          <w:sz w:val="20"/>
          <w:szCs w:val="20"/>
          <w:lang w:val="es-AR"/>
        </w:rPr>
        <w:t>Chemisorb</w:t>
      </w:r>
      <w:proofErr w:type="spellEnd"/>
      <w:r w:rsidRPr="00D736EE">
        <w:rPr>
          <w:rFonts w:ascii="Arial" w:hAnsi="Arial" w:cs="Arial"/>
          <w:bCs/>
          <w:iCs/>
          <w:sz w:val="20"/>
          <w:szCs w:val="20"/>
          <w:lang w:val="es-AR"/>
        </w:rPr>
        <w:t xml:space="preserve"> 270 de </w:t>
      </w:r>
      <w:proofErr w:type="spellStart"/>
      <w:r w:rsidRPr="00D736EE">
        <w:rPr>
          <w:rFonts w:ascii="Arial" w:hAnsi="Arial" w:cs="Arial"/>
          <w:bCs/>
          <w:iCs/>
          <w:sz w:val="20"/>
          <w:szCs w:val="20"/>
          <w:lang w:val="es-AR"/>
        </w:rPr>
        <w:t>Micromeritics</w:t>
      </w:r>
      <w:proofErr w:type="spellEnd"/>
      <w:r w:rsidRPr="00D736EE">
        <w:rPr>
          <w:rFonts w:ascii="Arial" w:hAnsi="Arial" w:cs="Arial"/>
          <w:bCs/>
          <w:iCs/>
          <w:sz w:val="20"/>
          <w:szCs w:val="20"/>
          <w:lang w:val="es-AR"/>
        </w:rPr>
        <w:t xml:space="preserve"> con absorción de N</w:t>
      </w:r>
      <w:r w:rsidRPr="00D736EE">
        <w:rPr>
          <w:rFonts w:ascii="Arial" w:hAnsi="Arial" w:cs="Arial"/>
          <w:bCs/>
          <w:iCs/>
          <w:sz w:val="20"/>
          <w:szCs w:val="20"/>
          <w:vertAlign w:val="subscript"/>
          <w:lang w:val="es-AR"/>
        </w:rPr>
        <w:t>2</w:t>
      </w:r>
      <w:r w:rsidRPr="00D736EE">
        <w:rPr>
          <w:rFonts w:ascii="Arial" w:hAnsi="Arial" w:cs="Arial"/>
          <w:bCs/>
          <w:iCs/>
          <w:sz w:val="20"/>
          <w:szCs w:val="20"/>
          <w:lang w:val="es-AR"/>
        </w:rPr>
        <w:t xml:space="preserve"> a 77 K.</w:t>
      </w:r>
      <w:r w:rsidR="007114DB">
        <w:rPr>
          <w:rFonts w:ascii="Arial" w:hAnsi="Arial" w:cs="Arial"/>
          <w:bCs/>
          <w:iCs/>
          <w:sz w:val="20"/>
          <w:szCs w:val="20"/>
          <w:lang w:val="es-AR"/>
        </w:rPr>
        <w:t xml:space="preserve"> </w:t>
      </w:r>
      <w:r w:rsidRPr="00D736EE">
        <w:rPr>
          <w:rFonts w:ascii="Arial" w:hAnsi="Arial" w:cs="Arial"/>
          <w:bCs/>
          <w:iCs/>
          <w:sz w:val="20"/>
          <w:szCs w:val="20"/>
          <w:lang w:val="es-AR"/>
        </w:rPr>
        <w:t xml:space="preserve">La estructura cristalina se analizó a través de Difracción de Rayos X (XRD) de polvos en un </w:t>
      </w:r>
      <w:proofErr w:type="spellStart"/>
      <w:r w:rsidRPr="00D736EE">
        <w:rPr>
          <w:rFonts w:ascii="Arial" w:hAnsi="Arial" w:cs="Arial"/>
          <w:bCs/>
          <w:iCs/>
          <w:sz w:val="20"/>
          <w:szCs w:val="20"/>
          <w:lang w:val="es-AR"/>
        </w:rPr>
        <w:t>difractómetro</w:t>
      </w:r>
      <w:proofErr w:type="spellEnd"/>
      <w:r w:rsidRPr="00D736EE">
        <w:rPr>
          <w:rFonts w:ascii="Arial" w:hAnsi="Arial" w:cs="Arial"/>
          <w:bCs/>
          <w:iCs/>
          <w:sz w:val="20"/>
          <w:szCs w:val="20"/>
          <w:lang w:val="es-AR"/>
        </w:rPr>
        <w:t xml:space="preserve"> Philips PW 3020 empleando radia</w:t>
      </w:r>
      <w:r w:rsidR="007114DB">
        <w:rPr>
          <w:rFonts w:ascii="Arial" w:hAnsi="Arial" w:cs="Arial"/>
          <w:bCs/>
          <w:iCs/>
          <w:sz w:val="20"/>
          <w:szCs w:val="20"/>
          <w:lang w:val="es-AR"/>
        </w:rPr>
        <w:t xml:space="preserve">ción </w:t>
      </w:r>
      <w:proofErr w:type="spellStart"/>
      <w:r w:rsidR="007114DB">
        <w:rPr>
          <w:rFonts w:ascii="Arial" w:hAnsi="Arial" w:cs="Arial"/>
          <w:bCs/>
          <w:iCs/>
          <w:sz w:val="20"/>
          <w:szCs w:val="20"/>
          <w:lang w:val="es-AR"/>
        </w:rPr>
        <w:t>CuK</w:t>
      </w:r>
      <w:proofErr w:type="spellEnd"/>
      <w:r w:rsidR="007114DB">
        <w:rPr>
          <w:rFonts w:ascii="Arial" w:hAnsi="Arial" w:cs="Arial"/>
          <w:bCs/>
          <w:iCs/>
          <w:sz w:val="20"/>
          <w:szCs w:val="20"/>
          <w:lang w:val="es-AR"/>
        </w:rPr>
        <w:t>α de longitud de onda 0,</w:t>
      </w:r>
      <w:r w:rsidRPr="00D736EE">
        <w:rPr>
          <w:rFonts w:ascii="Arial" w:hAnsi="Arial" w:cs="Arial"/>
          <w:bCs/>
          <w:iCs/>
          <w:sz w:val="20"/>
          <w:szCs w:val="20"/>
          <w:lang w:val="es-AR"/>
        </w:rPr>
        <w:t xml:space="preserve">15418 </w:t>
      </w:r>
      <w:proofErr w:type="spellStart"/>
      <w:r w:rsidRPr="00D736EE">
        <w:rPr>
          <w:rFonts w:ascii="Arial" w:hAnsi="Arial" w:cs="Arial"/>
          <w:bCs/>
          <w:iCs/>
          <w:sz w:val="20"/>
          <w:szCs w:val="20"/>
          <w:lang w:val="es-AR"/>
        </w:rPr>
        <w:t>nm</w:t>
      </w:r>
      <w:proofErr w:type="spellEnd"/>
      <w:r w:rsidRPr="00D736EE">
        <w:rPr>
          <w:rFonts w:ascii="Arial" w:hAnsi="Arial" w:cs="Arial"/>
          <w:bCs/>
          <w:iCs/>
          <w:sz w:val="20"/>
          <w:szCs w:val="20"/>
          <w:lang w:val="es-AR"/>
        </w:rPr>
        <w:t>. Los datos de difracción se recogieron ent</w:t>
      </w:r>
      <w:r w:rsidR="007114DB">
        <w:rPr>
          <w:rFonts w:ascii="Arial" w:hAnsi="Arial" w:cs="Arial"/>
          <w:bCs/>
          <w:iCs/>
          <w:sz w:val="20"/>
          <w:szCs w:val="20"/>
          <w:lang w:val="es-AR"/>
        </w:rPr>
        <w:t>re 2θ= 5-60º, a intervalos de 0,</w:t>
      </w:r>
      <w:r w:rsidRPr="00D736EE">
        <w:rPr>
          <w:rFonts w:ascii="Arial" w:hAnsi="Arial" w:cs="Arial"/>
          <w:bCs/>
          <w:iCs/>
          <w:sz w:val="20"/>
          <w:szCs w:val="20"/>
          <w:lang w:val="es-AR"/>
        </w:rPr>
        <w:t xml:space="preserve">1º y velocidad de 2º por min. </w:t>
      </w:r>
      <w:r w:rsidR="00A72B99">
        <w:rPr>
          <w:rFonts w:ascii="Arial" w:hAnsi="Arial" w:cs="Arial"/>
          <w:bCs/>
          <w:iCs/>
          <w:sz w:val="20"/>
          <w:szCs w:val="20"/>
          <w:lang w:val="es-AR"/>
        </w:rPr>
        <w:t xml:space="preserve">La acidez de los materiales se determinó por </w:t>
      </w:r>
      <w:proofErr w:type="spellStart"/>
      <w:r w:rsidR="00E24680">
        <w:rPr>
          <w:rFonts w:ascii="Arial" w:hAnsi="Arial" w:cs="Arial"/>
          <w:bCs/>
          <w:iCs/>
          <w:sz w:val="20"/>
          <w:szCs w:val="20"/>
          <w:lang w:val="es-AR"/>
        </w:rPr>
        <w:t>Espectroscopía</w:t>
      </w:r>
      <w:proofErr w:type="spellEnd"/>
      <w:r w:rsidR="00E24680">
        <w:rPr>
          <w:rFonts w:ascii="Arial" w:hAnsi="Arial" w:cs="Arial"/>
          <w:bCs/>
          <w:iCs/>
          <w:sz w:val="20"/>
          <w:szCs w:val="20"/>
          <w:lang w:val="es-AR"/>
        </w:rPr>
        <w:t xml:space="preserve"> Infrarroja con Transformada de Fourier (</w:t>
      </w:r>
      <w:r w:rsidR="00A72B99">
        <w:rPr>
          <w:rFonts w:ascii="Arial" w:hAnsi="Arial" w:cs="Arial"/>
          <w:bCs/>
          <w:iCs/>
          <w:sz w:val="20"/>
          <w:szCs w:val="20"/>
          <w:lang w:val="es-AR"/>
        </w:rPr>
        <w:t>FTIR</w:t>
      </w:r>
      <w:r w:rsidR="00E24680">
        <w:rPr>
          <w:rFonts w:ascii="Arial" w:hAnsi="Arial" w:cs="Arial"/>
          <w:bCs/>
          <w:iCs/>
          <w:sz w:val="20"/>
          <w:szCs w:val="20"/>
          <w:lang w:val="es-AR"/>
        </w:rPr>
        <w:t>)</w:t>
      </w:r>
      <w:r w:rsidR="00A72B99">
        <w:rPr>
          <w:rFonts w:ascii="Arial" w:hAnsi="Arial" w:cs="Arial"/>
          <w:bCs/>
          <w:iCs/>
          <w:sz w:val="20"/>
          <w:szCs w:val="20"/>
          <w:lang w:val="es-AR"/>
        </w:rPr>
        <w:t xml:space="preserve"> en un equipo </w:t>
      </w:r>
      <w:proofErr w:type="spellStart"/>
      <w:r w:rsidR="00A72B99" w:rsidRPr="00A72B99">
        <w:rPr>
          <w:rFonts w:ascii="Arial" w:hAnsi="Arial" w:cs="Arial"/>
          <w:bCs/>
          <w:iCs/>
          <w:sz w:val="20"/>
          <w:szCs w:val="20"/>
          <w:lang w:val="es-AR"/>
        </w:rPr>
        <w:t>Thermo</w:t>
      </w:r>
      <w:proofErr w:type="spellEnd"/>
      <w:r w:rsidR="00A72B99" w:rsidRPr="00A72B99">
        <w:rPr>
          <w:rFonts w:ascii="Arial" w:hAnsi="Arial" w:cs="Arial"/>
          <w:bCs/>
          <w:iCs/>
          <w:sz w:val="20"/>
          <w:szCs w:val="20"/>
          <w:lang w:val="es-AR"/>
        </w:rPr>
        <w:t xml:space="preserve"> </w:t>
      </w:r>
      <w:proofErr w:type="spellStart"/>
      <w:r w:rsidR="00A72B99" w:rsidRPr="00A72B99">
        <w:rPr>
          <w:rFonts w:ascii="Arial" w:hAnsi="Arial" w:cs="Arial"/>
          <w:bCs/>
          <w:iCs/>
          <w:sz w:val="20"/>
          <w:szCs w:val="20"/>
          <w:lang w:val="es-AR"/>
        </w:rPr>
        <w:t>Nicolet</w:t>
      </w:r>
      <w:proofErr w:type="spellEnd"/>
      <w:r w:rsidR="00A72B99" w:rsidRPr="00A72B99">
        <w:rPr>
          <w:rFonts w:ascii="Arial" w:hAnsi="Arial" w:cs="Arial"/>
          <w:bCs/>
          <w:iCs/>
          <w:sz w:val="20"/>
          <w:szCs w:val="20"/>
          <w:lang w:val="es-AR"/>
        </w:rPr>
        <w:t xml:space="preserve"> iS10</w:t>
      </w:r>
      <w:r w:rsidR="00A72B99">
        <w:rPr>
          <w:rFonts w:ascii="Arial" w:hAnsi="Arial" w:cs="Arial"/>
          <w:bCs/>
          <w:iCs/>
          <w:sz w:val="20"/>
          <w:szCs w:val="20"/>
          <w:lang w:val="es-AR"/>
        </w:rPr>
        <w:t xml:space="preserve">. </w:t>
      </w:r>
      <w:r w:rsidR="000B4C1A" w:rsidRPr="000B4C1A">
        <w:rPr>
          <w:rFonts w:ascii="Arial" w:hAnsi="Arial" w:cs="Arial"/>
          <w:bCs/>
          <w:iCs/>
          <w:sz w:val="20"/>
          <w:szCs w:val="20"/>
        </w:rPr>
        <w:t xml:space="preserve">Primero se adsorbió piridina a los materiales a temperatura ambiente en condiciones de vacío y se </w:t>
      </w:r>
      <w:proofErr w:type="spellStart"/>
      <w:r w:rsidR="000B4C1A" w:rsidRPr="000B4C1A">
        <w:rPr>
          <w:rFonts w:ascii="Arial" w:hAnsi="Arial" w:cs="Arial"/>
          <w:bCs/>
          <w:iCs/>
          <w:sz w:val="20"/>
          <w:szCs w:val="20"/>
        </w:rPr>
        <w:t>desorbió</w:t>
      </w:r>
      <w:proofErr w:type="spellEnd"/>
      <w:r w:rsidR="000B4C1A" w:rsidRPr="000B4C1A">
        <w:rPr>
          <w:rFonts w:ascii="Arial" w:hAnsi="Arial" w:cs="Arial"/>
          <w:bCs/>
          <w:iCs/>
          <w:sz w:val="20"/>
          <w:szCs w:val="20"/>
        </w:rPr>
        <w:t xml:space="preserve"> a 250 </w:t>
      </w:r>
      <w:r w:rsidR="009B4968">
        <w:rPr>
          <w:rFonts w:ascii="Arial" w:hAnsi="Arial" w:cs="Arial"/>
          <w:bCs/>
          <w:iCs/>
          <w:sz w:val="20"/>
          <w:szCs w:val="20"/>
        </w:rPr>
        <w:t>°</w:t>
      </w:r>
      <w:r w:rsidR="000B4C1A" w:rsidRPr="000B4C1A">
        <w:rPr>
          <w:rFonts w:ascii="Arial" w:hAnsi="Arial" w:cs="Arial"/>
          <w:bCs/>
          <w:iCs/>
          <w:sz w:val="20"/>
          <w:szCs w:val="20"/>
        </w:rPr>
        <w:t>C y 10</w:t>
      </w:r>
      <w:r w:rsidR="000B4C1A" w:rsidRPr="009B4968">
        <w:rPr>
          <w:rFonts w:ascii="Arial" w:hAnsi="Arial" w:cs="Arial"/>
          <w:bCs/>
          <w:iCs/>
          <w:sz w:val="20"/>
          <w:szCs w:val="20"/>
          <w:vertAlign w:val="superscript"/>
        </w:rPr>
        <w:t>-4</w:t>
      </w:r>
      <w:r w:rsidR="000B4C1A" w:rsidRPr="000B4C1A">
        <w:rPr>
          <w:rFonts w:ascii="Arial" w:hAnsi="Arial" w:cs="Arial"/>
          <w:bCs/>
          <w:iCs/>
          <w:sz w:val="20"/>
          <w:szCs w:val="20"/>
        </w:rPr>
        <w:t xml:space="preserve"> Torr. La cuantificación de los sitios ácidos se realizó a partir de las bandas de 1545 cm</w:t>
      </w:r>
      <w:r w:rsidR="000B4C1A" w:rsidRPr="00E24680">
        <w:rPr>
          <w:rFonts w:ascii="Arial" w:hAnsi="Arial" w:cs="Arial"/>
          <w:bCs/>
          <w:iCs/>
          <w:sz w:val="20"/>
          <w:szCs w:val="20"/>
          <w:vertAlign w:val="superscript"/>
        </w:rPr>
        <w:t>-1</w:t>
      </w:r>
      <w:r w:rsidR="000B4C1A" w:rsidRPr="000B4C1A">
        <w:rPr>
          <w:rFonts w:ascii="Arial" w:hAnsi="Arial" w:cs="Arial"/>
          <w:bCs/>
          <w:iCs/>
          <w:sz w:val="20"/>
          <w:szCs w:val="20"/>
        </w:rPr>
        <w:t xml:space="preserve"> (</w:t>
      </w:r>
      <w:proofErr w:type="spellStart"/>
      <w:r w:rsidR="000B4C1A" w:rsidRPr="000B4C1A">
        <w:rPr>
          <w:rFonts w:ascii="Arial" w:hAnsi="Arial" w:cs="Arial"/>
          <w:bCs/>
          <w:iCs/>
          <w:sz w:val="20"/>
          <w:szCs w:val="20"/>
        </w:rPr>
        <w:t>Brønsted</w:t>
      </w:r>
      <w:proofErr w:type="spellEnd"/>
      <w:r w:rsidR="000B4C1A" w:rsidRPr="000B4C1A">
        <w:rPr>
          <w:rFonts w:ascii="Arial" w:hAnsi="Arial" w:cs="Arial"/>
          <w:bCs/>
          <w:iCs/>
          <w:sz w:val="20"/>
          <w:szCs w:val="20"/>
        </w:rPr>
        <w:t>) y 1450 cm</w:t>
      </w:r>
      <w:r w:rsidR="000B4C1A" w:rsidRPr="00E24680">
        <w:rPr>
          <w:rFonts w:ascii="Arial" w:hAnsi="Arial" w:cs="Arial"/>
          <w:bCs/>
          <w:iCs/>
          <w:sz w:val="20"/>
          <w:szCs w:val="20"/>
          <w:vertAlign w:val="superscript"/>
        </w:rPr>
        <w:t>-1</w:t>
      </w:r>
      <w:r w:rsidR="000B4C1A" w:rsidRPr="000B4C1A">
        <w:rPr>
          <w:rFonts w:ascii="Arial" w:hAnsi="Arial" w:cs="Arial"/>
          <w:bCs/>
          <w:iCs/>
          <w:sz w:val="20"/>
          <w:szCs w:val="20"/>
        </w:rPr>
        <w:t xml:space="preserve"> (Lewis) utilizando los datos de la literatura de los coeficientes de extinción molar integrados</w:t>
      </w:r>
      <w:r w:rsidR="00E24680">
        <w:rPr>
          <w:rFonts w:ascii="Arial" w:hAnsi="Arial" w:cs="Arial"/>
          <w:bCs/>
          <w:iCs/>
          <w:sz w:val="20"/>
          <w:szCs w:val="20"/>
        </w:rPr>
        <w:t xml:space="preserve"> </w:t>
      </w:r>
      <w:r w:rsidR="00E24680">
        <w:rPr>
          <w:rFonts w:ascii="Arial" w:hAnsi="Arial" w:cs="Arial"/>
          <w:bCs/>
          <w:iCs/>
          <w:sz w:val="20"/>
          <w:szCs w:val="20"/>
        </w:rPr>
        <w:fldChar w:fldCharType="begin" w:fldLock="1"/>
      </w:r>
      <w:r w:rsidR="00C55833">
        <w:rPr>
          <w:rFonts w:ascii="Arial" w:hAnsi="Arial" w:cs="Arial"/>
          <w:bCs/>
          <w:iCs/>
          <w:sz w:val="20"/>
          <w:szCs w:val="20"/>
        </w:rPr>
        <w:instrText>ADDIN CSL_CITATION {"citationItems":[{"id":"ITEM-1","itemData":{"author":[{"dropping-particle":"","family":"Emeis","given":"C.A.","non-dropping-particle":"","parse-names":false,"suffix":""}],"container-title":"Journal of Catalysis","id":"ITEM-1","issued":{"date-parts":[["1993"]]},"page":"347-354","title":"Determination of Integrated Molar Extinction Coefficients for Infrared Absorption Bands of Pyridine Adsorbed on Solid Acid Catalysts","type":"article-journal","volume":"141"},"uris":["http://www.mendeley.com/documents/?uuid=fce7aa73-0243-4fb0-9800-86cbda6a979d"]}],"mendeley":{"formattedCitation":"[4]","plainTextFormattedCitation":"[4]","previouslyFormattedCitation":"[4]"},"properties":{"noteIndex":0},"schema":"https://github.com/citation-style-language/schema/raw/master/csl-citation.json"}</w:instrText>
      </w:r>
      <w:r w:rsidR="00E24680">
        <w:rPr>
          <w:rFonts w:ascii="Arial" w:hAnsi="Arial" w:cs="Arial"/>
          <w:bCs/>
          <w:iCs/>
          <w:sz w:val="20"/>
          <w:szCs w:val="20"/>
        </w:rPr>
        <w:fldChar w:fldCharType="separate"/>
      </w:r>
      <w:r w:rsidR="00C55833" w:rsidRPr="00C55833">
        <w:rPr>
          <w:rFonts w:ascii="Arial" w:hAnsi="Arial" w:cs="Arial"/>
          <w:bCs/>
          <w:iCs/>
          <w:noProof/>
          <w:sz w:val="20"/>
          <w:szCs w:val="20"/>
        </w:rPr>
        <w:t>[4]</w:t>
      </w:r>
      <w:r w:rsidR="00E24680">
        <w:rPr>
          <w:rFonts w:ascii="Arial" w:hAnsi="Arial" w:cs="Arial"/>
          <w:bCs/>
          <w:iCs/>
          <w:sz w:val="20"/>
          <w:szCs w:val="20"/>
        </w:rPr>
        <w:fldChar w:fldCharType="end"/>
      </w:r>
      <w:r w:rsidR="00E24680">
        <w:rPr>
          <w:rFonts w:ascii="Arial" w:hAnsi="Arial" w:cs="Arial"/>
          <w:bCs/>
          <w:iCs/>
          <w:sz w:val="20"/>
          <w:szCs w:val="20"/>
        </w:rPr>
        <w:t>.</w:t>
      </w:r>
    </w:p>
    <w:p w14:paraId="324FE2B5" w14:textId="1221957E" w:rsidR="00630F8B" w:rsidRDefault="00D736EE" w:rsidP="00D736EE">
      <w:pPr>
        <w:spacing w:after="0" w:line="240" w:lineRule="auto"/>
        <w:jc w:val="both"/>
        <w:rPr>
          <w:rFonts w:ascii="Arial" w:hAnsi="Arial" w:cs="Arial"/>
          <w:b/>
          <w:bCs/>
          <w:iCs/>
          <w:sz w:val="20"/>
          <w:szCs w:val="20"/>
          <w:lang w:val="es-AR"/>
        </w:rPr>
      </w:pPr>
      <w:proofErr w:type="spellStart"/>
      <w:r>
        <w:rPr>
          <w:rFonts w:ascii="Arial" w:hAnsi="Arial" w:cs="Arial"/>
          <w:b/>
          <w:bCs/>
          <w:iCs/>
          <w:sz w:val="20"/>
          <w:szCs w:val="20"/>
          <w:lang w:val="es-AR"/>
        </w:rPr>
        <w:t>Pirólisis</w:t>
      </w:r>
      <w:proofErr w:type="spellEnd"/>
      <w:r>
        <w:rPr>
          <w:rFonts w:ascii="Arial" w:hAnsi="Arial" w:cs="Arial"/>
          <w:b/>
          <w:bCs/>
          <w:iCs/>
          <w:sz w:val="20"/>
          <w:szCs w:val="20"/>
          <w:lang w:val="es-AR"/>
        </w:rPr>
        <w:t xml:space="preserve"> catalítica </w:t>
      </w:r>
    </w:p>
    <w:p w14:paraId="2D70C589" w14:textId="31F0AFB3" w:rsidR="00D736EE" w:rsidRDefault="00D736EE" w:rsidP="00D736EE">
      <w:pPr>
        <w:spacing w:after="0" w:line="240" w:lineRule="auto"/>
        <w:jc w:val="both"/>
        <w:rPr>
          <w:rFonts w:ascii="Arial" w:hAnsi="Arial" w:cs="Arial"/>
          <w:sz w:val="20"/>
          <w:szCs w:val="20"/>
          <w:lang w:val="es-AR"/>
        </w:rPr>
      </w:pPr>
      <w:r w:rsidRPr="00D736EE">
        <w:rPr>
          <w:rFonts w:ascii="Arial" w:hAnsi="Arial" w:cs="Arial"/>
          <w:sz w:val="20"/>
          <w:szCs w:val="20"/>
          <w:lang w:val="es-AR"/>
        </w:rPr>
        <w:lastRenderedPageBreak/>
        <w:t xml:space="preserve">La </w:t>
      </w:r>
      <w:proofErr w:type="spellStart"/>
      <w:r w:rsidRPr="00D736EE">
        <w:rPr>
          <w:rFonts w:ascii="Arial" w:hAnsi="Arial" w:cs="Arial"/>
          <w:sz w:val="20"/>
          <w:szCs w:val="20"/>
          <w:lang w:val="es-AR"/>
        </w:rPr>
        <w:t>pirólisis</w:t>
      </w:r>
      <w:proofErr w:type="spellEnd"/>
      <w:r w:rsidRPr="00D736EE">
        <w:rPr>
          <w:rFonts w:ascii="Arial" w:hAnsi="Arial" w:cs="Arial"/>
          <w:sz w:val="20"/>
          <w:szCs w:val="20"/>
          <w:lang w:val="es-AR"/>
        </w:rPr>
        <w:t xml:space="preserve"> de la biomasa y el </w:t>
      </w:r>
      <w:proofErr w:type="spellStart"/>
      <w:r w:rsidRPr="00D736EE">
        <w:rPr>
          <w:rFonts w:ascii="Arial" w:hAnsi="Arial" w:cs="Arial"/>
          <w:i/>
          <w:sz w:val="20"/>
          <w:szCs w:val="20"/>
          <w:lang w:val="es-AR"/>
        </w:rPr>
        <w:t>upgrade</w:t>
      </w:r>
      <w:proofErr w:type="spellEnd"/>
      <w:r w:rsidRPr="00D736EE">
        <w:rPr>
          <w:rFonts w:ascii="Arial" w:hAnsi="Arial" w:cs="Arial"/>
          <w:i/>
          <w:sz w:val="20"/>
          <w:szCs w:val="20"/>
          <w:lang w:val="es-AR"/>
        </w:rPr>
        <w:t xml:space="preserve"> </w:t>
      </w:r>
      <w:r w:rsidRPr="00D736EE">
        <w:rPr>
          <w:rFonts w:ascii="Arial" w:hAnsi="Arial" w:cs="Arial"/>
          <w:sz w:val="20"/>
          <w:szCs w:val="20"/>
          <w:lang w:val="es-AR"/>
        </w:rPr>
        <w:t xml:space="preserve">del </w:t>
      </w:r>
      <w:proofErr w:type="spellStart"/>
      <w:r w:rsidRPr="00D736EE">
        <w:rPr>
          <w:rFonts w:ascii="Arial" w:hAnsi="Arial" w:cs="Arial"/>
          <w:sz w:val="20"/>
          <w:szCs w:val="20"/>
          <w:lang w:val="es-AR"/>
        </w:rPr>
        <w:t>bio-oil</w:t>
      </w:r>
      <w:proofErr w:type="spellEnd"/>
      <w:r w:rsidRPr="00D736EE">
        <w:rPr>
          <w:rFonts w:ascii="Arial" w:hAnsi="Arial" w:cs="Arial"/>
          <w:sz w:val="20"/>
          <w:szCs w:val="20"/>
          <w:lang w:val="es-AR"/>
        </w:rPr>
        <w:t xml:space="preserve"> generado se realizaron simultáneamente en un reactor tubular de vidrio de lecho fijo</w:t>
      </w:r>
      <w:r w:rsidR="00A66895">
        <w:rPr>
          <w:rFonts w:ascii="Arial" w:hAnsi="Arial" w:cs="Arial"/>
          <w:sz w:val="20"/>
          <w:szCs w:val="20"/>
          <w:lang w:val="es-AR"/>
        </w:rPr>
        <w:t xml:space="preserve"> bajo flujo de N</w:t>
      </w:r>
      <w:r w:rsidR="00A66895">
        <w:rPr>
          <w:rFonts w:ascii="Arial" w:hAnsi="Arial" w:cs="Arial"/>
          <w:sz w:val="20"/>
          <w:szCs w:val="20"/>
          <w:vertAlign w:val="subscript"/>
          <w:lang w:val="es-AR"/>
        </w:rPr>
        <w:t>2</w:t>
      </w:r>
      <w:r w:rsidR="00A66895">
        <w:rPr>
          <w:rFonts w:ascii="Arial" w:hAnsi="Arial" w:cs="Arial"/>
          <w:sz w:val="20"/>
          <w:szCs w:val="20"/>
          <w:lang w:val="es-AR"/>
        </w:rPr>
        <w:t xml:space="preserve"> (60 ml/min). </w:t>
      </w:r>
      <w:r>
        <w:rPr>
          <w:rFonts w:ascii="Arial" w:hAnsi="Arial" w:cs="Arial"/>
          <w:sz w:val="20"/>
          <w:szCs w:val="20"/>
          <w:lang w:val="es-AR"/>
        </w:rPr>
        <w:t xml:space="preserve"> </w:t>
      </w:r>
      <w:r w:rsidR="00A66895">
        <w:rPr>
          <w:rFonts w:ascii="Arial" w:hAnsi="Arial" w:cs="Arial"/>
          <w:sz w:val="20"/>
          <w:szCs w:val="20"/>
          <w:lang w:val="es-AR"/>
        </w:rPr>
        <w:t xml:space="preserve">En un experimento típico, CM (1 g) se colocó </w:t>
      </w:r>
      <w:r w:rsidRPr="00D736EE">
        <w:rPr>
          <w:rFonts w:ascii="Arial" w:hAnsi="Arial" w:cs="Arial"/>
          <w:sz w:val="20"/>
          <w:szCs w:val="20"/>
          <w:lang w:val="es-AR"/>
        </w:rPr>
        <w:t>en una canasta de vidrio sobre un lecho conformado por 1 g de catalizador mezclado con 7 g de cuarzo molido.</w:t>
      </w:r>
      <w:r w:rsidR="00A66895">
        <w:rPr>
          <w:rFonts w:ascii="Arial" w:hAnsi="Arial" w:cs="Arial"/>
          <w:sz w:val="20"/>
          <w:szCs w:val="20"/>
          <w:lang w:val="es-AR"/>
        </w:rPr>
        <w:t xml:space="preserve"> El reactor se colocó en el horno una vez alcanzada la temperatura de </w:t>
      </w:r>
      <w:proofErr w:type="spellStart"/>
      <w:r w:rsidR="00A66895">
        <w:rPr>
          <w:rFonts w:ascii="Arial" w:hAnsi="Arial" w:cs="Arial"/>
          <w:sz w:val="20"/>
          <w:szCs w:val="20"/>
          <w:lang w:val="es-AR"/>
        </w:rPr>
        <w:t>pir</w:t>
      </w:r>
      <w:r w:rsidR="002E5C09">
        <w:rPr>
          <w:rFonts w:ascii="Arial" w:hAnsi="Arial" w:cs="Arial"/>
          <w:sz w:val="20"/>
          <w:szCs w:val="20"/>
          <w:lang w:val="es-AR"/>
        </w:rPr>
        <w:t>ó</w:t>
      </w:r>
      <w:r w:rsidR="00A66895">
        <w:rPr>
          <w:rFonts w:ascii="Arial" w:hAnsi="Arial" w:cs="Arial"/>
          <w:sz w:val="20"/>
          <w:szCs w:val="20"/>
          <w:lang w:val="es-AR"/>
        </w:rPr>
        <w:t>lisis</w:t>
      </w:r>
      <w:proofErr w:type="spellEnd"/>
      <w:r w:rsidR="00A66895">
        <w:rPr>
          <w:rFonts w:ascii="Arial" w:hAnsi="Arial" w:cs="Arial"/>
          <w:sz w:val="20"/>
          <w:szCs w:val="20"/>
          <w:lang w:val="es-AR"/>
        </w:rPr>
        <w:t xml:space="preserve"> (500 °C). </w:t>
      </w:r>
      <w:r w:rsidRPr="00D736EE">
        <w:rPr>
          <w:rFonts w:ascii="Arial" w:hAnsi="Arial" w:cs="Arial"/>
          <w:sz w:val="20"/>
          <w:szCs w:val="20"/>
          <w:lang w:val="es-AR"/>
        </w:rPr>
        <w:t xml:space="preserve">Los </w:t>
      </w:r>
      <w:r w:rsidR="00A66895">
        <w:rPr>
          <w:rFonts w:ascii="Arial" w:hAnsi="Arial" w:cs="Arial"/>
          <w:sz w:val="20"/>
          <w:szCs w:val="20"/>
          <w:lang w:val="es-AR"/>
        </w:rPr>
        <w:t xml:space="preserve">vapores condensables se recogieron en un condensador a </w:t>
      </w:r>
      <w:r w:rsidRPr="00D736EE">
        <w:rPr>
          <w:rFonts w:ascii="Arial" w:hAnsi="Arial" w:cs="Arial"/>
          <w:sz w:val="20"/>
          <w:szCs w:val="20"/>
          <w:lang w:val="es-AR"/>
        </w:rPr>
        <w:t>-1</w:t>
      </w:r>
      <w:r w:rsidR="00A66895">
        <w:rPr>
          <w:rFonts w:ascii="Arial" w:hAnsi="Arial" w:cs="Arial"/>
          <w:sz w:val="20"/>
          <w:szCs w:val="20"/>
          <w:lang w:val="es-AR"/>
        </w:rPr>
        <w:t>0</w:t>
      </w:r>
      <w:r w:rsidRPr="00D736EE">
        <w:rPr>
          <w:rFonts w:ascii="Arial" w:hAnsi="Arial" w:cs="Arial"/>
          <w:sz w:val="20"/>
          <w:szCs w:val="20"/>
          <w:lang w:val="es-AR"/>
        </w:rPr>
        <w:t xml:space="preserve"> °C.</w:t>
      </w:r>
      <w:r w:rsidR="00A66895">
        <w:rPr>
          <w:rFonts w:ascii="Arial" w:hAnsi="Arial" w:cs="Arial"/>
          <w:sz w:val="20"/>
          <w:szCs w:val="20"/>
          <w:lang w:val="es-AR"/>
        </w:rPr>
        <w:t xml:space="preserve"> </w:t>
      </w:r>
      <w:r w:rsidRPr="00D736EE">
        <w:rPr>
          <w:rFonts w:ascii="Arial" w:hAnsi="Arial" w:cs="Arial"/>
          <w:sz w:val="20"/>
          <w:szCs w:val="20"/>
          <w:lang w:val="es-AR"/>
        </w:rPr>
        <w:t xml:space="preserve">La composición química de los mismos se evaluó </w:t>
      </w:r>
      <w:r w:rsidR="00A66895">
        <w:rPr>
          <w:rFonts w:ascii="Arial" w:hAnsi="Arial" w:cs="Arial"/>
          <w:sz w:val="20"/>
          <w:szCs w:val="20"/>
          <w:lang w:val="es-AR"/>
        </w:rPr>
        <w:t xml:space="preserve">mediante CG-MS </w:t>
      </w:r>
      <w:r w:rsidRPr="00D736EE">
        <w:rPr>
          <w:rFonts w:ascii="Arial" w:hAnsi="Arial" w:cs="Arial"/>
          <w:sz w:val="20"/>
          <w:szCs w:val="20"/>
          <w:lang w:val="es-AR"/>
        </w:rPr>
        <w:t>en un Cr</w:t>
      </w:r>
      <w:r w:rsidR="00A66895">
        <w:rPr>
          <w:rFonts w:ascii="Arial" w:hAnsi="Arial" w:cs="Arial"/>
          <w:sz w:val="20"/>
          <w:szCs w:val="20"/>
          <w:lang w:val="es-AR"/>
        </w:rPr>
        <w:t xml:space="preserve">omatógrafo </w:t>
      </w:r>
      <w:proofErr w:type="spellStart"/>
      <w:r w:rsidR="00A66895">
        <w:rPr>
          <w:rFonts w:ascii="Arial" w:hAnsi="Arial" w:cs="Arial"/>
          <w:sz w:val="20"/>
          <w:szCs w:val="20"/>
          <w:lang w:val="es-AR"/>
        </w:rPr>
        <w:t>Perkin</w:t>
      </w:r>
      <w:proofErr w:type="spellEnd"/>
      <w:r w:rsidR="00A66895">
        <w:rPr>
          <w:rFonts w:ascii="Arial" w:hAnsi="Arial" w:cs="Arial"/>
          <w:sz w:val="20"/>
          <w:szCs w:val="20"/>
          <w:lang w:val="es-AR"/>
        </w:rPr>
        <w:t xml:space="preserve"> Elmer </w:t>
      </w:r>
      <w:proofErr w:type="spellStart"/>
      <w:r w:rsidR="00A66895">
        <w:rPr>
          <w:rFonts w:ascii="Arial" w:hAnsi="Arial" w:cs="Arial"/>
          <w:sz w:val="20"/>
          <w:szCs w:val="20"/>
          <w:lang w:val="es-AR"/>
        </w:rPr>
        <w:t>Clarus</w:t>
      </w:r>
      <w:proofErr w:type="spellEnd"/>
      <w:r w:rsidR="00A66895">
        <w:rPr>
          <w:rFonts w:ascii="Arial" w:hAnsi="Arial" w:cs="Arial"/>
          <w:sz w:val="20"/>
          <w:szCs w:val="20"/>
          <w:lang w:val="es-AR"/>
        </w:rPr>
        <w:t xml:space="preserve"> 6</w:t>
      </w:r>
      <w:r w:rsidRPr="00D736EE">
        <w:rPr>
          <w:rFonts w:ascii="Arial" w:hAnsi="Arial" w:cs="Arial"/>
          <w:sz w:val="20"/>
          <w:szCs w:val="20"/>
          <w:lang w:val="es-AR"/>
        </w:rPr>
        <w:t>00</w:t>
      </w:r>
      <w:r w:rsidR="00A66895">
        <w:rPr>
          <w:rFonts w:ascii="Arial" w:hAnsi="Arial" w:cs="Arial"/>
          <w:sz w:val="20"/>
          <w:szCs w:val="20"/>
          <w:lang w:val="es-AR"/>
        </w:rPr>
        <w:t xml:space="preserve">. </w:t>
      </w:r>
      <w:r w:rsidRPr="00D736EE">
        <w:rPr>
          <w:rFonts w:ascii="Arial" w:hAnsi="Arial" w:cs="Arial"/>
          <w:sz w:val="20"/>
          <w:szCs w:val="20"/>
          <w:lang w:val="es-AR"/>
        </w:rPr>
        <w:t xml:space="preserve"> La base de datos NIST fue usada para </w:t>
      </w:r>
      <w:r w:rsidR="002A2796">
        <w:rPr>
          <w:rFonts w:ascii="Arial" w:hAnsi="Arial" w:cs="Arial"/>
          <w:sz w:val="20"/>
          <w:szCs w:val="20"/>
          <w:lang w:val="es-AR"/>
        </w:rPr>
        <w:t xml:space="preserve">identificar </w:t>
      </w:r>
      <w:r w:rsidRPr="00D736EE">
        <w:rPr>
          <w:rFonts w:ascii="Arial" w:hAnsi="Arial" w:cs="Arial"/>
          <w:sz w:val="20"/>
          <w:szCs w:val="20"/>
          <w:lang w:val="es-AR"/>
        </w:rPr>
        <w:t xml:space="preserve">los químicos presentes. </w:t>
      </w:r>
      <w:r w:rsidR="00A66895">
        <w:rPr>
          <w:rFonts w:ascii="Arial" w:hAnsi="Arial" w:cs="Arial"/>
          <w:sz w:val="20"/>
          <w:szCs w:val="20"/>
          <w:lang w:val="es-AR"/>
        </w:rPr>
        <w:t>Las reacciones duraron 10 min. Tres repeticiones de cada experimento fueron realizadas, se reportan los valores medios.</w:t>
      </w:r>
    </w:p>
    <w:p w14:paraId="0C1E4854" w14:textId="77777777" w:rsidR="00224738" w:rsidRPr="002641B1" w:rsidRDefault="008D3EB4" w:rsidP="007C5A44">
      <w:pPr>
        <w:spacing w:after="0" w:line="240" w:lineRule="auto"/>
        <w:jc w:val="both"/>
        <w:rPr>
          <w:rFonts w:ascii="Arial" w:hAnsi="Arial" w:cs="Arial"/>
          <w:b/>
          <w:sz w:val="20"/>
          <w:szCs w:val="20"/>
        </w:rPr>
      </w:pPr>
      <w:r w:rsidRPr="002641B1">
        <w:rPr>
          <w:rFonts w:ascii="Arial" w:hAnsi="Arial" w:cs="Arial"/>
          <w:b/>
          <w:sz w:val="20"/>
          <w:szCs w:val="20"/>
        </w:rPr>
        <w:t>Resultados y discusión</w:t>
      </w:r>
    </w:p>
    <w:p w14:paraId="11A58C97" w14:textId="56687451" w:rsidR="003918EE" w:rsidRDefault="002A5D1E" w:rsidP="002A5D1E">
      <w:pPr>
        <w:spacing w:after="0" w:line="240" w:lineRule="auto"/>
        <w:jc w:val="both"/>
        <w:rPr>
          <w:rFonts w:ascii="Arial" w:hAnsi="Arial" w:cs="Arial"/>
          <w:sz w:val="20"/>
          <w:szCs w:val="20"/>
          <w:lang w:val="es-AR"/>
        </w:rPr>
      </w:pPr>
      <w:r w:rsidRPr="002A5D1E">
        <w:rPr>
          <w:rFonts w:ascii="Arial" w:hAnsi="Arial" w:cs="Arial"/>
          <w:sz w:val="20"/>
          <w:szCs w:val="20"/>
          <w:lang w:val="es-AR"/>
        </w:rPr>
        <w:t>En la Tabla 1</w:t>
      </w:r>
      <w:r>
        <w:rPr>
          <w:rFonts w:ascii="Arial" w:hAnsi="Arial" w:cs="Arial"/>
          <w:b/>
          <w:sz w:val="20"/>
          <w:szCs w:val="20"/>
          <w:lang w:val="es-AR"/>
        </w:rPr>
        <w:t xml:space="preserve"> </w:t>
      </w:r>
      <w:r w:rsidR="00AC6239">
        <w:rPr>
          <w:rFonts w:ascii="Arial" w:hAnsi="Arial" w:cs="Arial"/>
          <w:sz w:val="20"/>
          <w:szCs w:val="20"/>
          <w:lang w:val="es-AR"/>
        </w:rPr>
        <w:t>se presenta</w:t>
      </w:r>
      <w:r w:rsidRPr="002A5D1E">
        <w:rPr>
          <w:rFonts w:ascii="Arial" w:hAnsi="Arial" w:cs="Arial"/>
          <w:sz w:val="20"/>
          <w:szCs w:val="20"/>
          <w:lang w:val="es-AR"/>
        </w:rPr>
        <w:t xml:space="preserve"> l</w:t>
      </w:r>
      <w:r w:rsidR="003918EE">
        <w:rPr>
          <w:rFonts w:ascii="Arial" w:hAnsi="Arial" w:cs="Arial"/>
          <w:sz w:val="20"/>
          <w:szCs w:val="20"/>
          <w:lang w:val="es-AR"/>
        </w:rPr>
        <w:t xml:space="preserve">a caracterización </w:t>
      </w:r>
      <w:proofErr w:type="spellStart"/>
      <w:r w:rsidR="003918EE">
        <w:rPr>
          <w:rFonts w:ascii="Arial" w:hAnsi="Arial" w:cs="Arial"/>
          <w:sz w:val="20"/>
          <w:szCs w:val="20"/>
          <w:lang w:val="es-AR"/>
        </w:rPr>
        <w:t>físicoquímica</w:t>
      </w:r>
      <w:proofErr w:type="spellEnd"/>
      <w:r w:rsidR="003918EE">
        <w:rPr>
          <w:rFonts w:ascii="Arial" w:hAnsi="Arial" w:cs="Arial"/>
          <w:sz w:val="20"/>
          <w:szCs w:val="20"/>
          <w:lang w:val="es-AR"/>
        </w:rPr>
        <w:t xml:space="preserve"> de los catalizadores empleados. </w:t>
      </w:r>
      <w:r w:rsidR="003918EE" w:rsidRPr="003918EE">
        <w:rPr>
          <w:rFonts w:ascii="Arial" w:hAnsi="Arial" w:cs="Arial"/>
          <w:sz w:val="20"/>
          <w:szCs w:val="20"/>
          <w:lang w:val="es-AR"/>
        </w:rPr>
        <w:t xml:space="preserve">Los valores de área superficial están de acuerdo con los presentados por este tipo de catalizadores. Por XRD se observó que la cristalinidad de los materiales se conservó, sin ser afectada por los tratamientos químicos y térmicos efectuados sobre las mismas. </w:t>
      </w:r>
      <w:r w:rsidR="00AC6239">
        <w:rPr>
          <w:rFonts w:ascii="Arial" w:hAnsi="Arial" w:cs="Arial"/>
          <w:sz w:val="20"/>
          <w:szCs w:val="20"/>
          <w:lang w:val="es-AR"/>
        </w:rPr>
        <w:t xml:space="preserve">Como se observa, el tratamiento alcalino aumentó la acidez de los materiales, siendo aún mayor en las formas Ni-zeolitas. </w:t>
      </w:r>
      <w:r w:rsidR="003918EE" w:rsidRPr="003918EE">
        <w:rPr>
          <w:rFonts w:ascii="Arial" w:hAnsi="Arial" w:cs="Arial"/>
          <w:sz w:val="20"/>
          <w:szCs w:val="20"/>
          <w:lang w:val="es-AR"/>
        </w:rPr>
        <w:t xml:space="preserve">En la Figura 1 se presentan los </w:t>
      </w:r>
      <w:proofErr w:type="spellStart"/>
      <w:r w:rsidR="003918EE" w:rsidRPr="003918EE">
        <w:rPr>
          <w:rFonts w:ascii="Arial" w:hAnsi="Arial" w:cs="Arial"/>
          <w:sz w:val="20"/>
          <w:szCs w:val="20"/>
          <w:lang w:val="es-AR"/>
        </w:rPr>
        <w:t>difractogramas</w:t>
      </w:r>
      <w:proofErr w:type="spellEnd"/>
      <w:r w:rsidR="003918EE" w:rsidRPr="003918EE">
        <w:rPr>
          <w:rFonts w:ascii="Arial" w:hAnsi="Arial" w:cs="Arial"/>
          <w:sz w:val="20"/>
          <w:szCs w:val="20"/>
          <w:lang w:val="es-AR"/>
        </w:rPr>
        <w:t xml:space="preserve"> de los materiales testeados, en los cuales se observan los picos característicos de las matrices empleadas. </w:t>
      </w:r>
      <w:r w:rsidRPr="002A5D1E">
        <w:rPr>
          <w:rFonts w:ascii="Arial" w:hAnsi="Arial" w:cs="Arial"/>
          <w:sz w:val="20"/>
          <w:szCs w:val="20"/>
          <w:lang w:val="es-AR"/>
        </w:rPr>
        <w:t xml:space="preserve"> </w:t>
      </w:r>
    </w:p>
    <w:tbl>
      <w:tblPr>
        <w:tblStyle w:val="Tablaconcuadrcula"/>
        <w:tblpPr w:leftFromText="141" w:rightFromText="141" w:vertAnchor="text" w:horzAnchor="margin" w:tblpXSpec="center" w:tblpY="137"/>
        <w:tblW w:w="82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90"/>
        <w:gridCol w:w="1260"/>
        <w:gridCol w:w="2430"/>
        <w:gridCol w:w="2700"/>
      </w:tblGrid>
      <w:tr w:rsidR="000A0ED3" w:rsidRPr="002A5D1E" w14:paraId="7932497E" w14:textId="6446DC71" w:rsidTr="00AC6239">
        <w:tc>
          <w:tcPr>
            <w:tcW w:w="1890" w:type="dxa"/>
            <w:tcBorders>
              <w:top w:val="single" w:sz="4" w:space="0" w:color="auto"/>
              <w:bottom w:val="single" w:sz="4" w:space="0" w:color="auto"/>
            </w:tcBorders>
          </w:tcPr>
          <w:p w14:paraId="75AC75F8" w14:textId="0D8C2BD4" w:rsidR="000A0ED3" w:rsidRPr="00AC6239" w:rsidRDefault="000A0ED3" w:rsidP="00AC6239">
            <w:pPr>
              <w:spacing w:line="276" w:lineRule="auto"/>
              <w:jc w:val="center"/>
              <w:rPr>
                <w:rFonts w:ascii="Arial" w:hAnsi="Arial" w:cs="Arial"/>
                <w:b/>
                <w:sz w:val="20"/>
                <w:szCs w:val="20"/>
                <w:lang w:val="es-AR"/>
              </w:rPr>
            </w:pPr>
            <w:r w:rsidRPr="00AC6239">
              <w:rPr>
                <w:rFonts w:ascii="Arial" w:hAnsi="Arial" w:cs="Arial"/>
                <w:b/>
                <w:sz w:val="20"/>
                <w:szCs w:val="20"/>
                <w:lang w:val="es-AR"/>
              </w:rPr>
              <w:t>Catalizador</w:t>
            </w:r>
          </w:p>
        </w:tc>
        <w:tc>
          <w:tcPr>
            <w:tcW w:w="1260" w:type="dxa"/>
            <w:tcBorders>
              <w:top w:val="single" w:sz="4" w:space="0" w:color="auto"/>
              <w:bottom w:val="single" w:sz="4" w:space="0" w:color="auto"/>
            </w:tcBorders>
          </w:tcPr>
          <w:p w14:paraId="70451521" w14:textId="5461B02D" w:rsidR="000A0ED3" w:rsidRPr="00AC6239" w:rsidRDefault="000A0ED3" w:rsidP="00AC6239">
            <w:pPr>
              <w:spacing w:line="276" w:lineRule="auto"/>
              <w:ind w:left="-48"/>
              <w:jc w:val="center"/>
              <w:rPr>
                <w:rFonts w:ascii="Arial" w:hAnsi="Arial" w:cs="Arial"/>
                <w:b/>
                <w:sz w:val="20"/>
                <w:szCs w:val="20"/>
                <w:lang w:val="es-AR"/>
              </w:rPr>
            </w:pPr>
            <w:r w:rsidRPr="00AC6239">
              <w:rPr>
                <w:rFonts w:ascii="Arial" w:hAnsi="Arial" w:cs="Arial"/>
                <w:b/>
                <w:sz w:val="20"/>
                <w:szCs w:val="20"/>
                <w:lang w:val="es-AR"/>
              </w:rPr>
              <w:t>S</w:t>
            </w:r>
            <w:r w:rsidRPr="00AC6239">
              <w:rPr>
                <w:rFonts w:ascii="Arial" w:hAnsi="Arial" w:cs="Arial"/>
                <w:b/>
                <w:sz w:val="20"/>
                <w:szCs w:val="20"/>
                <w:vertAlign w:val="subscript"/>
                <w:lang w:val="es-AR"/>
              </w:rPr>
              <w:t>BET</w:t>
            </w:r>
            <w:r w:rsidRPr="00AC6239">
              <w:rPr>
                <w:rFonts w:ascii="Arial" w:hAnsi="Arial" w:cs="Arial"/>
                <w:b/>
                <w:sz w:val="20"/>
                <w:szCs w:val="20"/>
                <w:lang w:val="es-AR"/>
              </w:rPr>
              <w:t xml:space="preserve"> (m</w:t>
            </w:r>
            <w:r w:rsidRPr="00AC6239">
              <w:rPr>
                <w:rFonts w:ascii="Arial" w:hAnsi="Arial" w:cs="Arial"/>
                <w:b/>
                <w:sz w:val="20"/>
                <w:szCs w:val="20"/>
                <w:vertAlign w:val="superscript"/>
                <w:lang w:val="es-AR"/>
              </w:rPr>
              <w:t>2</w:t>
            </w:r>
            <w:r w:rsidRPr="00AC6239">
              <w:rPr>
                <w:rFonts w:ascii="Arial" w:hAnsi="Arial" w:cs="Arial"/>
                <w:b/>
                <w:sz w:val="20"/>
                <w:szCs w:val="20"/>
                <w:lang w:val="es-AR"/>
              </w:rPr>
              <w:t>/g)</w:t>
            </w:r>
          </w:p>
        </w:tc>
        <w:tc>
          <w:tcPr>
            <w:tcW w:w="2430" w:type="dxa"/>
            <w:tcBorders>
              <w:top w:val="single" w:sz="4" w:space="0" w:color="auto"/>
              <w:bottom w:val="single" w:sz="4" w:space="0" w:color="auto"/>
            </w:tcBorders>
          </w:tcPr>
          <w:p w14:paraId="6B355CB4" w14:textId="7C05A7E6" w:rsidR="000A0ED3" w:rsidRPr="00AC6239" w:rsidRDefault="000A0ED3" w:rsidP="00AC6239">
            <w:pPr>
              <w:spacing w:line="276" w:lineRule="auto"/>
              <w:jc w:val="center"/>
              <w:rPr>
                <w:rFonts w:ascii="Arial" w:hAnsi="Arial" w:cs="Arial"/>
                <w:b/>
                <w:sz w:val="20"/>
                <w:szCs w:val="20"/>
                <w:lang w:val="es-AR"/>
              </w:rPr>
            </w:pPr>
            <w:r w:rsidRPr="00AC6239">
              <w:rPr>
                <w:rFonts w:ascii="Arial" w:hAnsi="Arial" w:cs="Arial"/>
                <w:b/>
                <w:sz w:val="20"/>
                <w:szCs w:val="20"/>
                <w:lang w:val="es-AR"/>
              </w:rPr>
              <w:t>Cristalinidad (%) (XRD)</w:t>
            </w:r>
          </w:p>
        </w:tc>
        <w:tc>
          <w:tcPr>
            <w:tcW w:w="2700" w:type="dxa"/>
            <w:tcBorders>
              <w:top w:val="single" w:sz="4" w:space="0" w:color="auto"/>
              <w:bottom w:val="single" w:sz="4" w:space="0" w:color="auto"/>
            </w:tcBorders>
          </w:tcPr>
          <w:p w14:paraId="0D83D57D" w14:textId="6706964E" w:rsidR="000A0ED3" w:rsidRPr="00AC6239" w:rsidRDefault="000A0ED3" w:rsidP="00AC6239">
            <w:pPr>
              <w:spacing w:line="276" w:lineRule="auto"/>
              <w:jc w:val="center"/>
              <w:rPr>
                <w:rFonts w:ascii="Arial" w:hAnsi="Arial" w:cs="Arial"/>
                <w:b/>
                <w:sz w:val="20"/>
                <w:szCs w:val="20"/>
                <w:lang w:val="es-AR"/>
              </w:rPr>
            </w:pPr>
            <w:r w:rsidRPr="00AC6239">
              <w:rPr>
                <w:rFonts w:ascii="Arial" w:hAnsi="Arial" w:cs="Arial"/>
                <w:b/>
                <w:sz w:val="20"/>
                <w:szCs w:val="20"/>
                <w:lang w:val="es-AR"/>
              </w:rPr>
              <w:t>Acidez total</w:t>
            </w:r>
            <w:r w:rsidR="00AC6239">
              <w:rPr>
                <w:rFonts w:ascii="Arial" w:hAnsi="Arial" w:cs="Arial"/>
                <w:b/>
                <w:sz w:val="20"/>
                <w:szCs w:val="20"/>
                <w:lang w:val="es-AR"/>
              </w:rPr>
              <w:t xml:space="preserve"> </w:t>
            </w:r>
            <w:r w:rsidRPr="00AC6239">
              <w:rPr>
                <w:rFonts w:ascii="Arial" w:hAnsi="Arial" w:cs="Arial"/>
                <w:b/>
                <w:bCs/>
                <w:sz w:val="20"/>
                <w:szCs w:val="20"/>
                <w:lang w:val="es-AR"/>
              </w:rPr>
              <w:t>(</w:t>
            </w:r>
            <w:r w:rsidRPr="00AC6239">
              <w:rPr>
                <w:rFonts w:ascii="Arial" w:hAnsi="Arial" w:cs="Arial"/>
                <w:b/>
                <w:bCs/>
                <w:sz w:val="20"/>
                <w:szCs w:val="20"/>
                <w:lang w:val="en-US"/>
              </w:rPr>
              <w:t>μ</w:t>
            </w:r>
            <w:r w:rsidRPr="00AC6239">
              <w:rPr>
                <w:rFonts w:ascii="Arial" w:hAnsi="Arial" w:cs="Arial"/>
                <w:b/>
                <w:bCs/>
                <w:sz w:val="20"/>
                <w:szCs w:val="20"/>
                <w:lang w:val="es-AR"/>
              </w:rPr>
              <w:t xml:space="preserve">mol </w:t>
            </w:r>
            <w:proofErr w:type="spellStart"/>
            <w:r w:rsidRPr="00AC6239">
              <w:rPr>
                <w:rFonts w:ascii="Arial" w:hAnsi="Arial" w:cs="Arial"/>
                <w:b/>
                <w:bCs/>
                <w:sz w:val="20"/>
                <w:szCs w:val="20"/>
                <w:lang w:val="es-AR"/>
              </w:rPr>
              <w:t>Py</w:t>
            </w:r>
            <w:proofErr w:type="spellEnd"/>
            <w:r w:rsidRPr="00AC6239">
              <w:rPr>
                <w:rFonts w:ascii="Arial" w:hAnsi="Arial" w:cs="Arial"/>
                <w:b/>
                <w:bCs/>
                <w:sz w:val="20"/>
                <w:szCs w:val="20"/>
                <w:lang w:val="es-AR"/>
              </w:rPr>
              <w:t>/mg)</w:t>
            </w:r>
          </w:p>
        </w:tc>
      </w:tr>
      <w:tr w:rsidR="000A0ED3" w:rsidRPr="002A5D1E" w14:paraId="58B3746F" w14:textId="15A1C83F" w:rsidTr="00AC6239">
        <w:tc>
          <w:tcPr>
            <w:tcW w:w="1890" w:type="dxa"/>
          </w:tcPr>
          <w:p w14:paraId="235F717F" w14:textId="6ACE0B94" w:rsidR="000A0ED3" w:rsidRPr="002A5D1E" w:rsidRDefault="000A0ED3" w:rsidP="00AC6239">
            <w:pPr>
              <w:spacing w:line="276" w:lineRule="auto"/>
              <w:jc w:val="center"/>
              <w:rPr>
                <w:rFonts w:ascii="Arial" w:hAnsi="Arial" w:cs="Arial"/>
                <w:sz w:val="20"/>
                <w:szCs w:val="20"/>
                <w:lang w:val="es-AR"/>
              </w:rPr>
            </w:pPr>
            <w:r>
              <w:rPr>
                <w:rFonts w:ascii="Arial" w:hAnsi="Arial" w:cs="Arial"/>
                <w:sz w:val="20"/>
                <w:szCs w:val="20"/>
                <w:lang w:val="es-AR"/>
              </w:rPr>
              <w:t>H-ZSM-11</w:t>
            </w:r>
          </w:p>
        </w:tc>
        <w:tc>
          <w:tcPr>
            <w:tcW w:w="1260" w:type="dxa"/>
          </w:tcPr>
          <w:p w14:paraId="1F91D98C" w14:textId="12E90DAE" w:rsidR="000A0ED3" w:rsidRPr="002A5D1E" w:rsidRDefault="000A0ED3" w:rsidP="00AC6239">
            <w:pPr>
              <w:spacing w:line="276" w:lineRule="auto"/>
              <w:ind w:left="-250"/>
              <w:jc w:val="center"/>
              <w:rPr>
                <w:rFonts w:ascii="Arial" w:hAnsi="Arial" w:cs="Arial"/>
                <w:sz w:val="20"/>
                <w:szCs w:val="20"/>
                <w:lang w:val="es-AR"/>
              </w:rPr>
            </w:pPr>
            <w:r>
              <w:rPr>
                <w:rFonts w:ascii="Arial" w:hAnsi="Arial" w:cs="Arial"/>
                <w:sz w:val="20"/>
                <w:szCs w:val="20"/>
                <w:lang w:val="es-AR"/>
              </w:rPr>
              <w:t>378</w:t>
            </w:r>
          </w:p>
        </w:tc>
        <w:tc>
          <w:tcPr>
            <w:tcW w:w="2430" w:type="dxa"/>
          </w:tcPr>
          <w:p w14:paraId="3953A37B" w14:textId="2BF2C80E" w:rsidR="000A0ED3" w:rsidRPr="002A5D1E" w:rsidRDefault="000A0ED3" w:rsidP="00AC6239">
            <w:pPr>
              <w:spacing w:line="276" w:lineRule="auto"/>
              <w:ind w:left="-250"/>
              <w:jc w:val="center"/>
              <w:rPr>
                <w:rFonts w:ascii="Arial" w:hAnsi="Arial" w:cs="Arial"/>
                <w:sz w:val="20"/>
                <w:szCs w:val="20"/>
                <w:lang w:val="es-AR"/>
              </w:rPr>
            </w:pPr>
            <w:r>
              <w:rPr>
                <w:rFonts w:ascii="Arial" w:hAnsi="Arial" w:cs="Arial"/>
                <w:sz w:val="20"/>
                <w:szCs w:val="20"/>
                <w:lang w:val="es-AR"/>
              </w:rPr>
              <w:t>&gt;99</w:t>
            </w:r>
          </w:p>
        </w:tc>
        <w:tc>
          <w:tcPr>
            <w:tcW w:w="2700" w:type="dxa"/>
          </w:tcPr>
          <w:p w14:paraId="7A8BD653" w14:textId="7F5FE8C5" w:rsidR="000A0ED3" w:rsidRDefault="00A72B99" w:rsidP="00AC6239">
            <w:pPr>
              <w:spacing w:line="276" w:lineRule="auto"/>
              <w:ind w:left="-250"/>
              <w:jc w:val="center"/>
              <w:rPr>
                <w:rFonts w:ascii="Arial" w:hAnsi="Arial" w:cs="Arial"/>
                <w:sz w:val="20"/>
                <w:szCs w:val="20"/>
                <w:lang w:val="es-AR"/>
              </w:rPr>
            </w:pPr>
            <w:r>
              <w:rPr>
                <w:rFonts w:ascii="Arial" w:hAnsi="Arial" w:cs="Arial"/>
                <w:sz w:val="20"/>
                <w:szCs w:val="20"/>
                <w:lang w:val="es-AR"/>
              </w:rPr>
              <w:t>76,48</w:t>
            </w:r>
          </w:p>
        </w:tc>
      </w:tr>
      <w:tr w:rsidR="000A0ED3" w:rsidRPr="002A5D1E" w14:paraId="31F4B25C" w14:textId="61AA2C41" w:rsidTr="00AC6239">
        <w:tc>
          <w:tcPr>
            <w:tcW w:w="1890" w:type="dxa"/>
          </w:tcPr>
          <w:p w14:paraId="77869C7D" w14:textId="71FB1940" w:rsidR="000A0ED3" w:rsidRPr="002A5D1E" w:rsidRDefault="000A0ED3" w:rsidP="00AC6239">
            <w:pPr>
              <w:spacing w:line="276" w:lineRule="auto"/>
              <w:jc w:val="center"/>
              <w:rPr>
                <w:rFonts w:ascii="Arial" w:hAnsi="Arial" w:cs="Arial"/>
                <w:sz w:val="20"/>
                <w:szCs w:val="20"/>
                <w:lang w:val="es-AR"/>
              </w:rPr>
            </w:pPr>
            <w:r>
              <w:rPr>
                <w:rFonts w:ascii="Arial" w:hAnsi="Arial" w:cs="Arial"/>
                <w:sz w:val="20"/>
                <w:szCs w:val="20"/>
                <w:lang w:val="es-AR"/>
              </w:rPr>
              <w:t>Ni-ZSM-11</w:t>
            </w:r>
          </w:p>
        </w:tc>
        <w:tc>
          <w:tcPr>
            <w:tcW w:w="1260" w:type="dxa"/>
          </w:tcPr>
          <w:p w14:paraId="022E6345" w14:textId="5EFE0B53" w:rsidR="000A0ED3" w:rsidRPr="002A5D1E" w:rsidRDefault="000A0ED3" w:rsidP="00AC6239">
            <w:pPr>
              <w:spacing w:line="276" w:lineRule="auto"/>
              <w:ind w:left="-250"/>
              <w:jc w:val="center"/>
              <w:rPr>
                <w:rFonts w:ascii="Arial" w:hAnsi="Arial" w:cs="Arial"/>
                <w:sz w:val="20"/>
                <w:szCs w:val="20"/>
                <w:lang w:val="es-AR"/>
              </w:rPr>
            </w:pPr>
            <w:r>
              <w:rPr>
                <w:rFonts w:ascii="Arial" w:hAnsi="Arial" w:cs="Arial"/>
                <w:sz w:val="20"/>
                <w:szCs w:val="20"/>
                <w:lang w:val="es-AR"/>
              </w:rPr>
              <w:t>321</w:t>
            </w:r>
          </w:p>
        </w:tc>
        <w:tc>
          <w:tcPr>
            <w:tcW w:w="2430" w:type="dxa"/>
          </w:tcPr>
          <w:p w14:paraId="48A30B48" w14:textId="1E4E17D6" w:rsidR="000A0ED3" w:rsidRPr="002A5D1E" w:rsidRDefault="000A0ED3" w:rsidP="00AC6239">
            <w:pPr>
              <w:spacing w:line="276" w:lineRule="auto"/>
              <w:ind w:left="-250"/>
              <w:jc w:val="center"/>
              <w:rPr>
                <w:rFonts w:ascii="Arial" w:hAnsi="Arial" w:cs="Arial"/>
                <w:sz w:val="20"/>
                <w:szCs w:val="20"/>
                <w:lang w:val="es-AR"/>
              </w:rPr>
            </w:pPr>
            <w:r>
              <w:rPr>
                <w:rFonts w:ascii="Arial" w:hAnsi="Arial" w:cs="Arial"/>
                <w:sz w:val="20"/>
                <w:szCs w:val="20"/>
                <w:lang w:val="es-AR"/>
              </w:rPr>
              <w:t>&gt;98</w:t>
            </w:r>
          </w:p>
        </w:tc>
        <w:tc>
          <w:tcPr>
            <w:tcW w:w="2700" w:type="dxa"/>
          </w:tcPr>
          <w:p w14:paraId="5870AE6D" w14:textId="15A1068F" w:rsidR="000A0ED3" w:rsidRDefault="00A72B99" w:rsidP="00AC6239">
            <w:pPr>
              <w:spacing w:line="276" w:lineRule="auto"/>
              <w:ind w:left="-250"/>
              <w:jc w:val="center"/>
              <w:rPr>
                <w:rFonts w:ascii="Arial" w:hAnsi="Arial" w:cs="Arial"/>
                <w:sz w:val="20"/>
                <w:szCs w:val="20"/>
                <w:lang w:val="es-AR"/>
              </w:rPr>
            </w:pPr>
            <w:r>
              <w:rPr>
                <w:rFonts w:ascii="Arial" w:hAnsi="Arial" w:cs="Arial"/>
                <w:sz w:val="20"/>
                <w:szCs w:val="20"/>
                <w:lang w:val="es-AR"/>
              </w:rPr>
              <w:t>222,39</w:t>
            </w:r>
          </w:p>
        </w:tc>
      </w:tr>
      <w:tr w:rsidR="000A0ED3" w:rsidRPr="002A5D1E" w14:paraId="61529EC6" w14:textId="75E06C41" w:rsidTr="00AC6239">
        <w:tc>
          <w:tcPr>
            <w:tcW w:w="1890" w:type="dxa"/>
            <w:tcBorders>
              <w:bottom w:val="single" w:sz="4" w:space="0" w:color="auto"/>
            </w:tcBorders>
          </w:tcPr>
          <w:p w14:paraId="6CB3C1FE" w14:textId="47262F59" w:rsidR="000A0ED3" w:rsidRPr="003918EE" w:rsidRDefault="000A0ED3" w:rsidP="00AC6239">
            <w:pPr>
              <w:spacing w:line="276" w:lineRule="auto"/>
              <w:jc w:val="center"/>
              <w:rPr>
                <w:rFonts w:ascii="Arial" w:hAnsi="Arial" w:cs="Arial"/>
                <w:sz w:val="20"/>
                <w:szCs w:val="20"/>
                <w:lang w:val="en-US"/>
              </w:rPr>
            </w:pPr>
            <w:r w:rsidRPr="003918EE">
              <w:rPr>
                <w:rFonts w:ascii="Arial" w:hAnsi="Arial" w:cs="Arial"/>
                <w:sz w:val="20"/>
                <w:szCs w:val="20"/>
                <w:lang w:val="en-US"/>
              </w:rPr>
              <w:t>H-ZSM-11(T)</w:t>
            </w:r>
          </w:p>
          <w:p w14:paraId="136B3ECE" w14:textId="7747AAED" w:rsidR="000A0ED3" w:rsidRPr="003918EE" w:rsidRDefault="000A0ED3" w:rsidP="00AC6239">
            <w:pPr>
              <w:spacing w:line="276" w:lineRule="auto"/>
              <w:jc w:val="center"/>
              <w:rPr>
                <w:rFonts w:ascii="Arial" w:hAnsi="Arial" w:cs="Arial"/>
                <w:sz w:val="20"/>
                <w:szCs w:val="20"/>
                <w:lang w:val="en-US"/>
              </w:rPr>
            </w:pPr>
            <w:r w:rsidRPr="003918EE">
              <w:rPr>
                <w:rFonts w:ascii="Arial" w:hAnsi="Arial" w:cs="Arial"/>
                <w:sz w:val="20"/>
                <w:szCs w:val="20"/>
                <w:lang w:val="en-US"/>
              </w:rPr>
              <w:t>Ni-ZSM-11(T)</w:t>
            </w:r>
          </w:p>
        </w:tc>
        <w:tc>
          <w:tcPr>
            <w:tcW w:w="1260" w:type="dxa"/>
            <w:tcBorders>
              <w:bottom w:val="single" w:sz="4" w:space="0" w:color="auto"/>
            </w:tcBorders>
          </w:tcPr>
          <w:p w14:paraId="11BE81F0" w14:textId="77777777" w:rsidR="000A0ED3" w:rsidRDefault="000A0ED3" w:rsidP="00AC6239">
            <w:pPr>
              <w:spacing w:line="276" w:lineRule="auto"/>
              <w:ind w:left="-250"/>
              <w:jc w:val="center"/>
              <w:rPr>
                <w:rFonts w:ascii="Arial" w:hAnsi="Arial" w:cs="Arial"/>
                <w:sz w:val="20"/>
                <w:szCs w:val="20"/>
                <w:lang w:val="es-AR"/>
              </w:rPr>
            </w:pPr>
            <w:r>
              <w:rPr>
                <w:rFonts w:ascii="Arial" w:hAnsi="Arial" w:cs="Arial"/>
                <w:sz w:val="20"/>
                <w:szCs w:val="20"/>
                <w:lang w:val="es-AR"/>
              </w:rPr>
              <w:t>400</w:t>
            </w:r>
          </w:p>
          <w:p w14:paraId="14550DF9" w14:textId="093C26C9" w:rsidR="000A0ED3" w:rsidRPr="002A5D1E" w:rsidRDefault="000A0ED3" w:rsidP="00AC6239">
            <w:pPr>
              <w:spacing w:line="276" w:lineRule="auto"/>
              <w:ind w:left="-250"/>
              <w:jc w:val="center"/>
              <w:rPr>
                <w:rFonts w:ascii="Arial" w:hAnsi="Arial" w:cs="Arial"/>
                <w:sz w:val="20"/>
                <w:szCs w:val="20"/>
                <w:lang w:val="es-AR"/>
              </w:rPr>
            </w:pPr>
            <w:r>
              <w:rPr>
                <w:rFonts w:ascii="Arial" w:hAnsi="Arial" w:cs="Arial"/>
                <w:sz w:val="20"/>
                <w:szCs w:val="20"/>
                <w:lang w:val="es-AR"/>
              </w:rPr>
              <w:t>385</w:t>
            </w:r>
          </w:p>
        </w:tc>
        <w:tc>
          <w:tcPr>
            <w:tcW w:w="2430" w:type="dxa"/>
            <w:tcBorders>
              <w:bottom w:val="single" w:sz="4" w:space="0" w:color="auto"/>
            </w:tcBorders>
          </w:tcPr>
          <w:p w14:paraId="71ADDD2F" w14:textId="01C59F75" w:rsidR="000A0ED3" w:rsidRDefault="000A0ED3" w:rsidP="00AC6239">
            <w:pPr>
              <w:spacing w:line="276" w:lineRule="auto"/>
              <w:ind w:left="-250"/>
              <w:jc w:val="center"/>
              <w:rPr>
                <w:rFonts w:ascii="Arial" w:hAnsi="Arial" w:cs="Arial"/>
                <w:sz w:val="20"/>
                <w:szCs w:val="20"/>
                <w:lang w:val="es-AR"/>
              </w:rPr>
            </w:pPr>
            <w:r>
              <w:rPr>
                <w:rFonts w:ascii="Arial" w:hAnsi="Arial" w:cs="Arial"/>
                <w:sz w:val="20"/>
                <w:szCs w:val="20"/>
                <w:lang w:val="es-AR"/>
              </w:rPr>
              <w:t>&gt;98</w:t>
            </w:r>
          </w:p>
          <w:p w14:paraId="1E05D895" w14:textId="5E6E29FE" w:rsidR="000A0ED3" w:rsidRPr="002A5D1E" w:rsidRDefault="000A0ED3" w:rsidP="00AC6239">
            <w:pPr>
              <w:spacing w:line="276" w:lineRule="auto"/>
              <w:ind w:left="-250"/>
              <w:jc w:val="center"/>
              <w:rPr>
                <w:rFonts w:ascii="Arial" w:hAnsi="Arial" w:cs="Arial"/>
                <w:sz w:val="20"/>
                <w:szCs w:val="20"/>
                <w:lang w:val="es-AR"/>
              </w:rPr>
            </w:pPr>
            <w:r>
              <w:rPr>
                <w:rFonts w:ascii="Arial" w:hAnsi="Arial" w:cs="Arial"/>
                <w:sz w:val="20"/>
                <w:szCs w:val="20"/>
                <w:lang w:val="es-AR"/>
              </w:rPr>
              <w:t>&gt;97</w:t>
            </w:r>
          </w:p>
        </w:tc>
        <w:tc>
          <w:tcPr>
            <w:tcW w:w="2700" w:type="dxa"/>
            <w:tcBorders>
              <w:bottom w:val="single" w:sz="4" w:space="0" w:color="auto"/>
            </w:tcBorders>
          </w:tcPr>
          <w:p w14:paraId="4D23EED9" w14:textId="77777777" w:rsidR="000A0ED3" w:rsidRDefault="00A72B99" w:rsidP="00AC6239">
            <w:pPr>
              <w:spacing w:line="276" w:lineRule="auto"/>
              <w:ind w:left="-250"/>
              <w:jc w:val="center"/>
              <w:rPr>
                <w:rFonts w:ascii="Arial" w:hAnsi="Arial" w:cs="Arial"/>
                <w:sz w:val="20"/>
                <w:szCs w:val="20"/>
                <w:lang w:val="es-AR"/>
              </w:rPr>
            </w:pPr>
            <w:r>
              <w:rPr>
                <w:rFonts w:ascii="Arial" w:hAnsi="Arial" w:cs="Arial"/>
                <w:sz w:val="20"/>
                <w:szCs w:val="20"/>
                <w:lang w:val="es-AR"/>
              </w:rPr>
              <w:t>140,53</w:t>
            </w:r>
          </w:p>
          <w:p w14:paraId="3DA5DF97" w14:textId="01827FEF" w:rsidR="00A72B99" w:rsidRDefault="00A72B99" w:rsidP="00AC6239">
            <w:pPr>
              <w:spacing w:line="276" w:lineRule="auto"/>
              <w:ind w:left="-250"/>
              <w:jc w:val="center"/>
              <w:rPr>
                <w:rFonts w:ascii="Arial" w:hAnsi="Arial" w:cs="Arial"/>
                <w:sz w:val="20"/>
                <w:szCs w:val="20"/>
                <w:lang w:val="es-AR"/>
              </w:rPr>
            </w:pPr>
            <w:r>
              <w:rPr>
                <w:rFonts w:ascii="Arial" w:hAnsi="Arial" w:cs="Arial"/>
                <w:sz w:val="20"/>
                <w:szCs w:val="20"/>
                <w:lang w:val="es-AR"/>
              </w:rPr>
              <w:t>389,91</w:t>
            </w:r>
          </w:p>
        </w:tc>
      </w:tr>
    </w:tbl>
    <w:p w14:paraId="1CE1CD69" w14:textId="77777777" w:rsidR="003918EE" w:rsidRDefault="003918EE" w:rsidP="002A5D1E">
      <w:pPr>
        <w:spacing w:after="0" w:line="240" w:lineRule="auto"/>
        <w:jc w:val="both"/>
        <w:rPr>
          <w:rFonts w:ascii="Arial" w:hAnsi="Arial" w:cs="Arial"/>
          <w:sz w:val="20"/>
          <w:szCs w:val="20"/>
          <w:lang w:val="es-AR"/>
        </w:rPr>
      </w:pPr>
    </w:p>
    <w:p w14:paraId="1D92077E" w14:textId="77777777" w:rsidR="003918EE" w:rsidRDefault="003918EE" w:rsidP="002A5D1E">
      <w:pPr>
        <w:spacing w:after="0" w:line="240" w:lineRule="auto"/>
        <w:jc w:val="both"/>
        <w:rPr>
          <w:rFonts w:ascii="Arial" w:hAnsi="Arial" w:cs="Arial"/>
          <w:sz w:val="20"/>
          <w:szCs w:val="20"/>
          <w:lang w:val="es-AR"/>
        </w:rPr>
      </w:pPr>
    </w:p>
    <w:p w14:paraId="39A1F92E" w14:textId="77777777" w:rsidR="003918EE" w:rsidRDefault="003918EE" w:rsidP="002A5D1E">
      <w:pPr>
        <w:spacing w:after="0" w:line="240" w:lineRule="auto"/>
        <w:jc w:val="both"/>
        <w:rPr>
          <w:rFonts w:ascii="Arial" w:hAnsi="Arial" w:cs="Arial"/>
          <w:sz w:val="20"/>
          <w:szCs w:val="20"/>
          <w:lang w:val="es-AR"/>
        </w:rPr>
      </w:pPr>
    </w:p>
    <w:p w14:paraId="15E13F18" w14:textId="77777777" w:rsidR="003918EE" w:rsidRDefault="003918EE" w:rsidP="002A5D1E">
      <w:pPr>
        <w:spacing w:after="0" w:line="240" w:lineRule="auto"/>
        <w:jc w:val="both"/>
        <w:rPr>
          <w:rFonts w:ascii="Arial" w:hAnsi="Arial" w:cs="Arial"/>
          <w:sz w:val="20"/>
          <w:szCs w:val="20"/>
          <w:lang w:val="es-AR"/>
        </w:rPr>
      </w:pPr>
    </w:p>
    <w:p w14:paraId="7D3E25FA" w14:textId="77777777" w:rsidR="003918EE" w:rsidRDefault="003918EE" w:rsidP="002A5D1E">
      <w:pPr>
        <w:spacing w:after="0" w:line="240" w:lineRule="auto"/>
        <w:jc w:val="both"/>
        <w:rPr>
          <w:rFonts w:ascii="Arial" w:hAnsi="Arial" w:cs="Arial"/>
          <w:sz w:val="20"/>
          <w:szCs w:val="20"/>
          <w:lang w:val="es-AR"/>
        </w:rPr>
      </w:pPr>
    </w:p>
    <w:p w14:paraId="5443D2BE" w14:textId="77777777" w:rsidR="003918EE" w:rsidRDefault="003918EE" w:rsidP="002A5D1E">
      <w:pPr>
        <w:spacing w:after="0" w:line="240" w:lineRule="auto"/>
        <w:jc w:val="both"/>
        <w:rPr>
          <w:rFonts w:ascii="Arial" w:hAnsi="Arial" w:cs="Arial"/>
          <w:sz w:val="20"/>
          <w:szCs w:val="20"/>
          <w:lang w:val="es-AR"/>
        </w:rPr>
      </w:pPr>
    </w:p>
    <w:p w14:paraId="48F8A4A8" w14:textId="77777777" w:rsidR="003918EE" w:rsidRDefault="003918EE" w:rsidP="002A5D1E">
      <w:pPr>
        <w:spacing w:after="0" w:line="240" w:lineRule="auto"/>
        <w:jc w:val="both"/>
        <w:rPr>
          <w:rFonts w:ascii="Arial" w:hAnsi="Arial" w:cs="Arial"/>
          <w:sz w:val="20"/>
          <w:szCs w:val="20"/>
          <w:lang w:val="es-AR"/>
        </w:rPr>
      </w:pPr>
    </w:p>
    <w:p w14:paraId="05D18E83" w14:textId="24264412" w:rsidR="003918EE" w:rsidRDefault="00AC6239" w:rsidP="002A5D1E">
      <w:pPr>
        <w:spacing w:after="0" w:line="240" w:lineRule="auto"/>
        <w:jc w:val="both"/>
        <w:rPr>
          <w:rFonts w:ascii="Arial" w:hAnsi="Arial" w:cs="Arial"/>
          <w:sz w:val="20"/>
          <w:szCs w:val="20"/>
          <w:lang w:val="es-AR"/>
        </w:rPr>
      </w:pPr>
      <w:r w:rsidRPr="00AC6239">
        <w:rPr>
          <w:rFonts w:ascii="Arial" w:hAnsi="Arial" w:cs="Arial"/>
          <w:b/>
          <w:sz w:val="20"/>
          <w:szCs w:val="20"/>
          <w:lang w:val="es-AR"/>
        </w:rPr>
        <w:t>Tabla 1.</w:t>
      </w:r>
      <w:r w:rsidRPr="002A5D1E">
        <w:rPr>
          <w:rFonts w:ascii="Arial" w:hAnsi="Arial" w:cs="Arial"/>
          <w:b/>
          <w:sz w:val="20"/>
          <w:szCs w:val="20"/>
          <w:lang w:val="es-AR"/>
        </w:rPr>
        <w:t xml:space="preserve"> </w:t>
      </w:r>
      <w:r w:rsidRPr="002A5D1E">
        <w:rPr>
          <w:rFonts w:ascii="Arial" w:hAnsi="Arial" w:cs="Arial"/>
          <w:sz w:val="20"/>
          <w:szCs w:val="20"/>
          <w:lang w:val="es-AR"/>
        </w:rPr>
        <w:t xml:space="preserve">Caracterización </w:t>
      </w:r>
      <w:proofErr w:type="spellStart"/>
      <w:r>
        <w:rPr>
          <w:rFonts w:ascii="Arial" w:hAnsi="Arial" w:cs="Arial"/>
          <w:sz w:val="20"/>
          <w:szCs w:val="20"/>
          <w:lang w:val="es-AR"/>
        </w:rPr>
        <w:t>físicoquímica</w:t>
      </w:r>
      <w:proofErr w:type="spellEnd"/>
      <w:r>
        <w:rPr>
          <w:rFonts w:ascii="Arial" w:hAnsi="Arial" w:cs="Arial"/>
          <w:sz w:val="20"/>
          <w:szCs w:val="20"/>
          <w:lang w:val="es-AR"/>
        </w:rPr>
        <w:t xml:space="preserve"> de los catalizadores.</w:t>
      </w:r>
    </w:p>
    <w:p w14:paraId="7ABC8900" w14:textId="6B0E3EE1" w:rsidR="003918EE" w:rsidRDefault="00395214" w:rsidP="00F23153">
      <w:pPr>
        <w:spacing w:after="0" w:line="240" w:lineRule="auto"/>
        <w:jc w:val="both"/>
        <w:rPr>
          <w:rFonts w:ascii="Arial" w:hAnsi="Arial" w:cs="Arial"/>
          <w:sz w:val="20"/>
          <w:szCs w:val="20"/>
          <w:lang w:val="es-AR"/>
        </w:rPr>
      </w:pPr>
      <w:r>
        <w:rPr>
          <w:rFonts w:ascii="Arial" w:hAnsi="Arial" w:cs="Arial"/>
          <w:noProof/>
          <w:sz w:val="20"/>
          <w:szCs w:val="20"/>
          <w:lang w:val="es-AR" w:eastAsia="es-AR"/>
        </w:rPr>
        <w:drawing>
          <wp:anchor distT="0" distB="0" distL="114300" distR="114300" simplePos="0" relativeHeight="251659264" behindDoc="0" locked="0" layoutInCell="1" allowOverlap="1" wp14:anchorId="55BEBDC0" wp14:editId="225FF1CD">
            <wp:simplePos x="0" y="0"/>
            <wp:positionH relativeFrom="margin">
              <wp:posOffset>2881630</wp:posOffset>
            </wp:positionH>
            <wp:positionV relativeFrom="paragraph">
              <wp:posOffset>222885</wp:posOffset>
            </wp:positionV>
            <wp:extent cx="3446780" cy="1952625"/>
            <wp:effectExtent l="0" t="0" r="1270" b="9525"/>
            <wp:wrapSquare wrapText="bothSides"/>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46780" cy="1952625"/>
                    </a:xfrm>
                    <a:prstGeom prst="rect">
                      <a:avLst/>
                    </a:prstGeom>
                    <a:noFill/>
                  </pic:spPr>
                </pic:pic>
              </a:graphicData>
            </a:graphic>
            <wp14:sizeRelH relativeFrom="margin">
              <wp14:pctWidth>0</wp14:pctWidth>
            </wp14:sizeRelH>
          </wp:anchor>
        </w:drawing>
      </w:r>
      <w:r w:rsidR="00F23153" w:rsidRPr="00751935">
        <w:rPr>
          <w:noProof/>
          <w:lang w:val="es-AR" w:eastAsia="es-AR"/>
        </w:rPr>
        <w:drawing>
          <wp:anchor distT="0" distB="0" distL="114300" distR="114300" simplePos="0" relativeHeight="251658240" behindDoc="0" locked="0" layoutInCell="1" allowOverlap="1" wp14:anchorId="54567D14" wp14:editId="47A8F9E8">
            <wp:simplePos x="0" y="0"/>
            <wp:positionH relativeFrom="margin">
              <wp:posOffset>0</wp:posOffset>
            </wp:positionH>
            <wp:positionV relativeFrom="paragraph">
              <wp:posOffset>138430</wp:posOffset>
            </wp:positionV>
            <wp:extent cx="2832735" cy="2280920"/>
            <wp:effectExtent l="0" t="0" r="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6198" t="6015" r="26504" b="23828"/>
                    <a:stretch/>
                  </pic:blipFill>
                  <pic:spPr bwMode="auto">
                    <a:xfrm>
                      <a:off x="0" y="0"/>
                      <a:ext cx="2832735" cy="22809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DE0C880" w14:textId="2FF83D3C" w:rsidR="003918EE" w:rsidRDefault="003918EE" w:rsidP="002A5D1E">
      <w:pPr>
        <w:spacing w:after="0" w:line="240" w:lineRule="auto"/>
        <w:jc w:val="both"/>
        <w:rPr>
          <w:rFonts w:ascii="Arial" w:hAnsi="Arial" w:cs="Arial"/>
          <w:sz w:val="20"/>
          <w:szCs w:val="20"/>
          <w:lang w:val="es-AR"/>
        </w:rPr>
      </w:pPr>
    </w:p>
    <w:p w14:paraId="000F8D30" w14:textId="4322FCB4" w:rsidR="00A1562D" w:rsidRDefault="00A1562D" w:rsidP="002A5D1E">
      <w:pPr>
        <w:spacing w:after="0" w:line="240" w:lineRule="auto"/>
        <w:jc w:val="both"/>
        <w:rPr>
          <w:rFonts w:ascii="Arial" w:hAnsi="Arial" w:cs="Arial"/>
          <w:sz w:val="20"/>
          <w:szCs w:val="20"/>
          <w:lang w:val="es-AR"/>
        </w:rPr>
      </w:pPr>
    </w:p>
    <w:p w14:paraId="6FA821F5" w14:textId="1CB7B820" w:rsidR="00A1562D" w:rsidRDefault="00F23153" w:rsidP="002A5D1E">
      <w:pPr>
        <w:spacing w:after="0" w:line="240" w:lineRule="auto"/>
        <w:jc w:val="both"/>
        <w:rPr>
          <w:rFonts w:ascii="Arial" w:hAnsi="Arial" w:cs="Arial"/>
          <w:sz w:val="20"/>
          <w:szCs w:val="20"/>
          <w:lang w:val="es-AR"/>
        </w:rPr>
      </w:pPr>
      <w:r w:rsidRPr="00F23153">
        <w:rPr>
          <w:rFonts w:ascii="Arial" w:hAnsi="Arial" w:cs="Arial"/>
          <w:b/>
          <w:sz w:val="20"/>
          <w:szCs w:val="20"/>
          <w:lang w:val="es-AR"/>
        </w:rPr>
        <w:t>Figura 1.</w:t>
      </w:r>
      <w:r>
        <w:rPr>
          <w:rFonts w:ascii="Arial" w:hAnsi="Arial" w:cs="Arial"/>
          <w:sz w:val="20"/>
          <w:szCs w:val="20"/>
          <w:lang w:val="es-AR"/>
        </w:rPr>
        <w:t xml:space="preserve"> XRD de zeolitas ZSM-11.</w:t>
      </w:r>
      <w:r>
        <w:rPr>
          <w:rFonts w:ascii="Arial" w:hAnsi="Arial" w:cs="Arial"/>
          <w:sz w:val="20"/>
          <w:szCs w:val="20"/>
          <w:lang w:val="es-AR"/>
        </w:rPr>
        <w:tab/>
      </w:r>
      <w:r w:rsidR="002E5C09">
        <w:rPr>
          <w:rFonts w:ascii="Arial" w:hAnsi="Arial" w:cs="Arial"/>
          <w:sz w:val="20"/>
          <w:szCs w:val="20"/>
          <w:lang w:val="es-AR"/>
        </w:rPr>
        <w:t xml:space="preserve">      </w:t>
      </w:r>
      <w:r>
        <w:rPr>
          <w:rFonts w:ascii="Arial" w:hAnsi="Arial" w:cs="Arial"/>
          <w:sz w:val="20"/>
          <w:szCs w:val="20"/>
          <w:lang w:val="es-AR"/>
        </w:rPr>
        <w:tab/>
      </w:r>
      <w:r>
        <w:rPr>
          <w:rFonts w:ascii="Arial" w:hAnsi="Arial" w:cs="Arial"/>
          <w:sz w:val="20"/>
          <w:szCs w:val="20"/>
          <w:lang w:val="es-AR"/>
        </w:rPr>
        <w:tab/>
      </w:r>
      <w:r w:rsidRPr="00F23153">
        <w:rPr>
          <w:rFonts w:ascii="Arial" w:hAnsi="Arial" w:cs="Arial"/>
          <w:b/>
          <w:sz w:val="20"/>
          <w:szCs w:val="20"/>
          <w:lang w:val="es-AR"/>
        </w:rPr>
        <w:t>Figura 2.</w:t>
      </w:r>
      <w:r>
        <w:rPr>
          <w:rFonts w:ascii="Arial" w:hAnsi="Arial" w:cs="Arial"/>
          <w:sz w:val="20"/>
          <w:szCs w:val="20"/>
          <w:lang w:val="es-AR"/>
        </w:rPr>
        <w:t xml:space="preserve"> Selectividad hacia hidrocarburos en </w:t>
      </w:r>
      <w:proofErr w:type="spellStart"/>
      <w:r>
        <w:rPr>
          <w:rFonts w:ascii="Arial" w:hAnsi="Arial" w:cs="Arial"/>
          <w:sz w:val="20"/>
          <w:szCs w:val="20"/>
          <w:lang w:val="es-AR"/>
        </w:rPr>
        <w:t>bio-oil</w:t>
      </w:r>
      <w:proofErr w:type="spellEnd"/>
      <w:r>
        <w:rPr>
          <w:rFonts w:ascii="Arial" w:hAnsi="Arial" w:cs="Arial"/>
          <w:sz w:val="20"/>
          <w:szCs w:val="20"/>
          <w:lang w:val="es-AR"/>
        </w:rPr>
        <w:t xml:space="preserve">. </w:t>
      </w:r>
    </w:p>
    <w:p w14:paraId="202BA4B3" w14:textId="53114522" w:rsidR="00A1562D" w:rsidRDefault="00A1562D" w:rsidP="002A5D1E">
      <w:pPr>
        <w:spacing w:after="0" w:line="240" w:lineRule="auto"/>
        <w:jc w:val="both"/>
        <w:rPr>
          <w:rFonts w:ascii="Arial" w:hAnsi="Arial" w:cs="Arial"/>
          <w:sz w:val="20"/>
          <w:szCs w:val="20"/>
          <w:lang w:val="es-AR"/>
        </w:rPr>
      </w:pPr>
    </w:p>
    <w:p w14:paraId="2B612D85" w14:textId="6479EEBA" w:rsidR="002E5C09" w:rsidRDefault="002E5C09" w:rsidP="002A5D1E">
      <w:pPr>
        <w:spacing w:after="0" w:line="240" w:lineRule="auto"/>
        <w:jc w:val="both"/>
        <w:rPr>
          <w:rFonts w:ascii="Arial" w:hAnsi="Arial" w:cs="Arial"/>
          <w:sz w:val="20"/>
          <w:szCs w:val="20"/>
          <w:lang w:val="es-AR"/>
        </w:rPr>
      </w:pPr>
      <w:r w:rsidRPr="002E5C09">
        <w:rPr>
          <w:rFonts w:ascii="Arial" w:hAnsi="Arial" w:cs="Arial"/>
          <w:sz w:val="20"/>
          <w:szCs w:val="20"/>
          <w:lang w:val="es-AR"/>
        </w:rPr>
        <w:t xml:space="preserve">En la Figura </w:t>
      </w:r>
      <w:r>
        <w:rPr>
          <w:rFonts w:ascii="Arial" w:hAnsi="Arial" w:cs="Arial"/>
          <w:sz w:val="20"/>
          <w:szCs w:val="20"/>
          <w:lang w:val="es-AR"/>
        </w:rPr>
        <w:t>2</w:t>
      </w:r>
      <w:r w:rsidRPr="002E5C09">
        <w:rPr>
          <w:rFonts w:ascii="Arial" w:hAnsi="Arial" w:cs="Arial"/>
          <w:sz w:val="20"/>
          <w:szCs w:val="20"/>
          <w:lang w:val="es-AR"/>
        </w:rPr>
        <w:t xml:space="preserve"> se presenta</w:t>
      </w:r>
      <w:r>
        <w:rPr>
          <w:rFonts w:ascii="Arial" w:hAnsi="Arial" w:cs="Arial"/>
          <w:sz w:val="20"/>
          <w:szCs w:val="20"/>
          <w:lang w:val="es-AR"/>
        </w:rPr>
        <w:t xml:space="preserve"> la selectividad hacia hidrocarburos</w:t>
      </w:r>
      <w:r w:rsidR="00176D4F">
        <w:rPr>
          <w:rFonts w:ascii="Arial" w:hAnsi="Arial" w:cs="Arial"/>
          <w:sz w:val="20"/>
          <w:szCs w:val="20"/>
          <w:lang w:val="es-AR"/>
        </w:rPr>
        <w:t xml:space="preserve"> y oxigenados</w:t>
      </w:r>
      <w:r>
        <w:rPr>
          <w:rFonts w:ascii="Arial" w:hAnsi="Arial" w:cs="Arial"/>
          <w:sz w:val="20"/>
          <w:szCs w:val="20"/>
          <w:lang w:val="es-AR"/>
        </w:rPr>
        <w:t xml:space="preserve"> en los </w:t>
      </w:r>
      <w:proofErr w:type="spellStart"/>
      <w:r>
        <w:rPr>
          <w:rFonts w:ascii="Arial" w:hAnsi="Arial" w:cs="Arial"/>
          <w:sz w:val="20"/>
          <w:szCs w:val="20"/>
          <w:lang w:val="es-AR"/>
        </w:rPr>
        <w:t>bio-oils</w:t>
      </w:r>
      <w:proofErr w:type="spellEnd"/>
      <w:r>
        <w:rPr>
          <w:rFonts w:ascii="Arial" w:hAnsi="Arial" w:cs="Arial"/>
          <w:sz w:val="20"/>
          <w:szCs w:val="20"/>
          <w:lang w:val="es-AR"/>
        </w:rPr>
        <w:t xml:space="preserve"> estudiados. Como puede observarse, </w:t>
      </w:r>
      <w:r w:rsidR="00395214">
        <w:rPr>
          <w:rFonts w:ascii="Arial" w:hAnsi="Arial" w:cs="Arial"/>
          <w:sz w:val="20"/>
          <w:szCs w:val="20"/>
          <w:lang w:val="es-AR"/>
        </w:rPr>
        <w:t xml:space="preserve">cuando la reacción se realizó en ausencia de catalizador (térmica), </w:t>
      </w:r>
      <w:r w:rsidR="00176D4F">
        <w:rPr>
          <w:rFonts w:ascii="Arial" w:hAnsi="Arial" w:cs="Arial"/>
          <w:sz w:val="20"/>
          <w:szCs w:val="20"/>
          <w:lang w:val="es-AR"/>
        </w:rPr>
        <w:t>la selectividad hacia compuestos oxigenados alcanzó casi el 100%. Por el contrario, la desoxigenación aumentó al aumentar la acidez de las zeolitas. L</w:t>
      </w:r>
      <w:r w:rsidR="00395214">
        <w:rPr>
          <w:rFonts w:ascii="Arial" w:hAnsi="Arial" w:cs="Arial"/>
          <w:sz w:val="20"/>
          <w:szCs w:val="20"/>
          <w:lang w:val="es-AR"/>
        </w:rPr>
        <w:t xml:space="preserve">a mayor selectividad </w:t>
      </w:r>
      <w:r w:rsidR="00176D4F">
        <w:rPr>
          <w:rFonts w:ascii="Arial" w:hAnsi="Arial" w:cs="Arial"/>
          <w:sz w:val="20"/>
          <w:szCs w:val="20"/>
          <w:lang w:val="es-AR"/>
        </w:rPr>
        <w:t xml:space="preserve">hacia hidrocarburos </w:t>
      </w:r>
      <w:r w:rsidR="00395214">
        <w:rPr>
          <w:rFonts w:ascii="Arial" w:hAnsi="Arial" w:cs="Arial"/>
          <w:sz w:val="20"/>
          <w:szCs w:val="20"/>
          <w:lang w:val="es-AR"/>
        </w:rPr>
        <w:t xml:space="preserve">se observó </w:t>
      </w:r>
      <w:r w:rsidR="00176D4F">
        <w:rPr>
          <w:rFonts w:ascii="Arial" w:hAnsi="Arial" w:cs="Arial"/>
          <w:sz w:val="20"/>
          <w:szCs w:val="20"/>
          <w:lang w:val="es-AR"/>
        </w:rPr>
        <w:t>con</w:t>
      </w:r>
      <w:r w:rsidR="00395214">
        <w:rPr>
          <w:rFonts w:ascii="Arial" w:hAnsi="Arial" w:cs="Arial"/>
          <w:sz w:val="20"/>
          <w:szCs w:val="20"/>
          <w:lang w:val="es-AR"/>
        </w:rPr>
        <w:t xml:space="preserve"> l</w:t>
      </w:r>
      <w:r w:rsidR="00176D4F">
        <w:rPr>
          <w:rFonts w:ascii="Arial" w:hAnsi="Arial" w:cs="Arial"/>
          <w:sz w:val="20"/>
          <w:szCs w:val="20"/>
          <w:lang w:val="es-AR"/>
        </w:rPr>
        <w:t xml:space="preserve">a zeolita Ni-ZMS-11(T). Como muestra </w:t>
      </w:r>
      <w:r w:rsidR="00395214">
        <w:rPr>
          <w:rFonts w:ascii="Arial" w:hAnsi="Arial" w:cs="Arial"/>
          <w:sz w:val="20"/>
          <w:szCs w:val="20"/>
          <w:lang w:val="es-AR"/>
        </w:rPr>
        <w:t xml:space="preserve">previamente </w:t>
      </w:r>
      <w:r w:rsidR="00176D4F">
        <w:rPr>
          <w:rFonts w:ascii="Arial" w:hAnsi="Arial" w:cs="Arial"/>
          <w:sz w:val="20"/>
          <w:szCs w:val="20"/>
          <w:lang w:val="es-AR"/>
        </w:rPr>
        <w:t>l</w:t>
      </w:r>
      <w:r w:rsidR="00395214">
        <w:rPr>
          <w:rFonts w:ascii="Arial" w:hAnsi="Arial" w:cs="Arial"/>
          <w:sz w:val="20"/>
          <w:szCs w:val="20"/>
          <w:lang w:val="es-AR"/>
        </w:rPr>
        <w:t>a Tabla 1, este material presentó el mayor valor de acidez.</w:t>
      </w:r>
    </w:p>
    <w:p w14:paraId="2C5B01F4" w14:textId="376347A4" w:rsidR="002F1398" w:rsidRPr="00462D1A" w:rsidRDefault="002F1398" w:rsidP="002F1398">
      <w:pPr>
        <w:spacing w:after="0" w:line="240" w:lineRule="auto"/>
        <w:jc w:val="both"/>
        <w:rPr>
          <w:rFonts w:ascii="Arial" w:hAnsi="Arial" w:cs="Arial"/>
          <w:b/>
          <w:sz w:val="20"/>
          <w:szCs w:val="20"/>
        </w:rPr>
      </w:pPr>
      <w:r w:rsidRPr="00462D1A">
        <w:rPr>
          <w:rFonts w:ascii="Arial" w:hAnsi="Arial" w:cs="Arial"/>
          <w:b/>
          <w:sz w:val="20"/>
          <w:szCs w:val="20"/>
        </w:rPr>
        <w:t>Conclusiones</w:t>
      </w:r>
    </w:p>
    <w:p w14:paraId="5A48E1F5" w14:textId="0EF13BA6" w:rsidR="00142D3E" w:rsidRPr="00142D3E" w:rsidRDefault="00142D3E" w:rsidP="00142D3E">
      <w:pPr>
        <w:spacing w:after="0" w:line="240" w:lineRule="auto"/>
        <w:jc w:val="both"/>
        <w:rPr>
          <w:rFonts w:ascii="Arial" w:hAnsi="Arial" w:cs="Arial"/>
          <w:sz w:val="20"/>
          <w:szCs w:val="20"/>
          <w:lang w:val="es-AR"/>
        </w:rPr>
      </w:pPr>
      <w:r>
        <w:rPr>
          <w:rFonts w:ascii="Arial" w:hAnsi="Arial" w:cs="Arial"/>
          <w:sz w:val="20"/>
          <w:szCs w:val="20"/>
          <w:lang w:val="es-AR"/>
        </w:rPr>
        <w:t xml:space="preserve">En este estudio, </w:t>
      </w:r>
      <w:r w:rsidR="00E465EE">
        <w:rPr>
          <w:rFonts w:ascii="Arial" w:hAnsi="Arial" w:cs="Arial"/>
          <w:sz w:val="20"/>
          <w:szCs w:val="20"/>
          <w:lang w:val="es-AR"/>
        </w:rPr>
        <w:t>u</w:t>
      </w:r>
      <w:r w:rsidR="00E465EE">
        <w:rPr>
          <w:rFonts w:ascii="Arial" w:hAnsi="Arial" w:cs="Arial"/>
          <w:sz w:val="20"/>
          <w:szCs w:val="20"/>
        </w:rPr>
        <w:t xml:space="preserve">na serie de zeolitas ZSM-11 modificadas por tratamiento alcalino y la incorporación de Ni fueron evaluadas como catalizadores heterogéneos. </w:t>
      </w:r>
      <w:r w:rsidR="00E465EE">
        <w:rPr>
          <w:rFonts w:ascii="Arial" w:hAnsi="Arial" w:cs="Arial"/>
          <w:sz w:val="20"/>
          <w:szCs w:val="20"/>
          <w:lang w:val="es-AR"/>
        </w:rPr>
        <w:t>M</w:t>
      </w:r>
      <w:r w:rsidRPr="00142D3E">
        <w:rPr>
          <w:rFonts w:ascii="Arial" w:hAnsi="Arial" w:cs="Arial"/>
          <w:sz w:val="20"/>
          <w:szCs w:val="20"/>
          <w:lang w:val="es-AR"/>
        </w:rPr>
        <w:t xml:space="preserve">ediante un proceso combinado de </w:t>
      </w:r>
      <w:proofErr w:type="spellStart"/>
      <w:r w:rsidRPr="00142D3E">
        <w:rPr>
          <w:rFonts w:ascii="Arial" w:hAnsi="Arial" w:cs="Arial"/>
          <w:sz w:val="20"/>
          <w:szCs w:val="20"/>
          <w:lang w:val="es-AR"/>
        </w:rPr>
        <w:t>pirólisis</w:t>
      </w:r>
      <w:proofErr w:type="spellEnd"/>
      <w:r w:rsidRPr="00142D3E">
        <w:rPr>
          <w:rFonts w:ascii="Arial" w:hAnsi="Arial" w:cs="Arial"/>
          <w:sz w:val="20"/>
          <w:szCs w:val="20"/>
          <w:lang w:val="es-AR"/>
        </w:rPr>
        <w:t xml:space="preserve">-craqueo catalítico se logró mejorar la composición del </w:t>
      </w:r>
      <w:proofErr w:type="spellStart"/>
      <w:r w:rsidRPr="00142D3E">
        <w:rPr>
          <w:rFonts w:ascii="Arial" w:hAnsi="Arial" w:cs="Arial"/>
          <w:sz w:val="20"/>
          <w:szCs w:val="20"/>
          <w:lang w:val="es-AR"/>
        </w:rPr>
        <w:t>bio-oil</w:t>
      </w:r>
      <w:proofErr w:type="spellEnd"/>
      <w:r w:rsidRPr="00142D3E">
        <w:rPr>
          <w:rFonts w:ascii="Arial" w:hAnsi="Arial" w:cs="Arial"/>
          <w:sz w:val="20"/>
          <w:szCs w:val="20"/>
          <w:lang w:val="es-AR"/>
        </w:rPr>
        <w:t xml:space="preserve"> obtenido a partir de un residuo agroindustrial como son las cáscaras de maní.</w:t>
      </w:r>
      <w:r>
        <w:rPr>
          <w:rFonts w:ascii="Arial" w:hAnsi="Arial" w:cs="Arial"/>
          <w:sz w:val="20"/>
          <w:szCs w:val="20"/>
          <w:lang w:val="es-AR"/>
        </w:rPr>
        <w:t xml:space="preserve"> </w:t>
      </w:r>
    </w:p>
    <w:p w14:paraId="1050B5C7" w14:textId="71771B60" w:rsidR="002F1398" w:rsidRPr="00D108DE" w:rsidRDefault="002F1398" w:rsidP="002F1398">
      <w:pPr>
        <w:spacing w:after="0" w:line="240" w:lineRule="auto"/>
        <w:jc w:val="both"/>
        <w:rPr>
          <w:rFonts w:ascii="Arial" w:hAnsi="Arial" w:cs="Arial"/>
          <w:b/>
          <w:sz w:val="20"/>
          <w:szCs w:val="20"/>
        </w:rPr>
      </w:pPr>
      <w:r w:rsidRPr="00D108DE">
        <w:rPr>
          <w:rFonts w:ascii="Arial" w:hAnsi="Arial" w:cs="Arial"/>
          <w:b/>
          <w:sz w:val="20"/>
          <w:szCs w:val="20"/>
        </w:rPr>
        <w:t>Agradecimientos</w:t>
      </w:r>
    </w:p>
    <w:p w14:paraId="22F3EC06" w14:textId="578A003B" w:rsidR="00577156" w:rsidRPr="00D27651" w:rsidRDefault="00FD49C9" w:rsidP="00577156">
      <w:pPr>
        <w:spacing w:after="0" w:line="240" w:lineRule="auto"/>
        <w:jc w:val="both"/>
        <w:rPr>
          <w:rFonts w:ascii="Arial" w:hAnsi="Arial" w:cs="Arial"/>
          <w:sz w:val="20"/>
          <w:szCs w:val="20"/>
          <w:lang w:val="es-AR"/>
        </w:rPr>
      </w:pPr>
      <w:r w:rsidRPr="00FD49C9">
        <w:rPr>
          <w:rFonts w:ascii="Arial" w:hAnsi="Arial" w:cs="Arial"/>
          <w:sz w:val="20"/>
          <w:szCs w:val="20"/>
        </w:rPr>
        <w:t>Las autoras de este trabajo desean agradecer a CONICET, al Ministerio de Ciencia y Tecnología de la Provincia de Córdoba y a</w:t>
      </w:r>
      <w:r w:rsidR="0064461A">
        <w:rPr>
          <w:rFonts w:ascii="Arial" w:hAnsi="Arial" w:cs="Arial"/>
          <w:sz w:val="20"/>
          <w:szCs w:val="20"/>
        </w:rPr>
        <w:t xml:space="preserve"> </w:t>
      </w:r>
      <w:r w:rsidRPr="00FD49C9">
        <w:rPr>
          <w:rFonts w:ascii="Arial" w:hAnsi="Arial" w:cs="Arial"/>
          <w:sz w:val="20"/>
          <w:szCs w:val="20"/>
        </w:rPr>
        <w:t>l</w:t>
      </w:r>
      <w:r w:rsidR="0064461A">
        <w:rPr>
          <w:rFonts w:ascii="Arial" w:hAnsi="Arial" w:cs="Arial"/>
          <w:sz w:val="20"/>
          <w:szCs w:val="20"/>
        </w:rPr>
        <w:t>a</w:t>
      </w:r>
      <w:r w:rsidRPr="00FD49C9">
        <w:rPr>
          <w:rFonts w:ascii="Arial" w:hAnsi="Arial" w:cs="Arial"/>
          <w:sz w:val="20"/>
          <w:szCs w:val="20"/>
        </w:rPr>
        <w:t xml:space="preserve"> </w:t>
      </w:r>
      <w:r w:rsidR="0064461A">
        <w:rPr>
          <w:rFonts w:ascii="Arial" w:hAnsi="Arial" w:cs="Arial"/>
          <w:sz w:val="20"/>
          <w:szCs w:val="20"/>
        </w:rPr>
        <w:t>Universidad Tecnológica Nacional</w:t>
      </w:r>
      <w:r w:rsidRPr="00FD49C9">
        <w:rPr>
          <w:rFonts w:ascii="Arial" w:hAnsi="Arial" w:cs="Arial"/>
          <w:sz w:val="20"/>
          <w:szCs w:val="20"/>
        </w:rPr>
        <w:t xml:space="preserve">. </w:t>
      </w:r>
    </w:p>
    <w:p w14:paraId="1C1294BE" w14:textId="0620563A" w:rsidR="002F1398" w:rsidRPr="00D27651" w:rsidRDefault="002F1398" w:rsidP="008E09EB">
      <w:pPr>
        <w:spacing w:after="0" w:line="240" w:lineRule="auto"/>
        <w:jc w:val="both"/>
        <w:rPr>
          <w:rFonts w:ascii="Arial" w:hAnsi="Arial" w:cs="Arial"/>
          <w:sz w:val="20"/>
          <w:szCs w:val="20"/>
          <w:lang w:val="es-AR"/>
        </w:rPr>
        <w:sectPr w:rsidR="002F1398" w:rsidRPr="00D27651" w:rsidSect="00577156">
          <w:pgSz w:w="12240" w:h="15840" w:code="1"/>
          <w:pgMar w:top="1134" w:right="1134" w:bottom="1134" w:left="1134" w:header="709" w:footer="709" w:gutter="0"/>
          <w:cols w:space="708"/>
          <w:docGrid w:linePitch="360"/>
        </w:sectPr>
      </w:pPr>
    </w:p>
    <w:p w14:paraId="429F70D8" w14:textId="77777777" w:rsidR="00F56437" w:rsidRPr="00577156" w:rsidRDefault="00F56437" w:rsidP="00F56437">
      <w:pPr>
        <w:spacing w:after="0" w:line="240" w:lineRule="auto"/>
        <w:jc w:val="both"/>
        <w:rPr>
          <w:rFonts w:ascii="Arial" w:hAnsi="Arial" w:cs="Arial"/>
          <w:b/>
          <w:sz w:val="20"/>
          <w:szCs w:val="20"/>
          <w:lang w:val="en-US"/>
        </w:rPr>
      </w:pPr>
      <w:proofErr w:type="spellStart"/>
      <w:r w:rsidRPr="00577156">
        <w:rPr>
          <w:rFonts w:ascii="Arial" w:hAnsi="Arial" w:cs="Arial"/>
          <w:b/>
          <w:sz w:val="20"/>
          <w:szCs w:val="20"/>
          <w:lang w:val="en-US"/>
        </w:rPr>
        <w:t>Referencias</w:t>
      </w:r>
      <w:proofErr w:type="spellEnd"/>
    </w:p>
    <w:p w14:paraId="66C748D1" w14:textId="380B5222" w:rsidR="00C55833" w:rsidRPr="00C55833" w:rsidRDefault="00F56437" w:rsidP="00C55833">
      <w:pPr>
        <w:widowControl w:val="0"/>
        <w:autoSpaceDE w:val="0"/>
        <w:autoSpaceDN w:val="0"/>
        <w:adjustRightInd w:val="0"/>
        <w:spacing w:after="0" w:line="240" w:lineRule="auto"/>
        <w:rPr>
          <w:rFonts w:ascii="Arial" w:hAnsi="Arial" w:cs="Arial"/>
          <w:noProof/>
          <w:sz w:val="20"/>
        </w:rPr>
      </w:pPr>
      <w:r w:rsidRPr="00F56437">
        <w:rPr>
          <w:rFonts w:ascii="Arial" w:hAnsi="Arial" w:cs="Arial"/>
          <w:sz w:val="20"/>
          <w:szCs w:val="20"/>
        </w:rPr>
        <w:fldChar w:fldCharType="begin" w:fldLock="1"/>
      </w:r>
      <w:r w:rsidRPr="00F56437">
        <w:rPr>
          <w:rFonts w:ascii="Arial" w:hAnsi="Arial" w:cs="Arial"/>
          <w:sz w:val="20"/>
          <w:szCs w:val="20"/>
          <w:lang w:val="en-US"/>
        </w:rPr>
        <w:instrText xml:space="preserve">ADDIN Mendeley Bibliography CSL_BIBLIOGRAPHY </w:instrText>
      </w:r>
      <w:r w:rsidRPr="00F56437">
        <w:rPr>
          <w:rFonts w:ascii="Arial" w:hAnsi="Arial" w:cs="Arial"/>
          <w:sz w:val="20"/>
          <w:szCs w:val="20"/>
        </w:rPr>
        <w:fldChar w:fldCharType="separate"/>
      </w:r>
      <w:r w:rsidR="00C55833">
        <w:rPr>
          <w:rFonts w:ascii="Arial" w:hAnsi="Arial" w:cs="Arial"/>
          <w:noProof/>
          <w:sz w:val="20"/>
          <w:szCs w:val="24"/>
        </w:rPr>
        <w:t>[1] C. Fermanelli et al.</w:t>
      </w:r>
      <w:r w:rsidR="00C55833" w:rsidRPr="00C55833">
        <w:rPr>
          <w:rFonts w:ascii="Arial" w:hAnsi="Arial" w:cs="Arial"/>
          <w:noProof/>
          <w:sz w:val="20"/>
          <w:szCs w:val="24"/>
        </w:rPr>
        <w:t>, Top. Catal. 62 (2019) 918–930.</w:t>
      </w:r>
      <w:r w:rsidR="00C55833">
        <w:rPr>
          <w:rFonts w:ascii="Arial" w:hAnsi="Arial" w:cs="Arial"/>
          <w:noProof/>
          <w:sz w:val="20"/>
          <w:szCs w:val="24"/>
        </w:rPr>
        <w:t xml:space="preserve"> [2] E. Galarza</w:t>
      </w:r>
      <w:r w:rsidR="00C55833" w:rsidRPr="00C55833">
        <w:rPr>
          <w:rFonts w:ascii="Arial" w:hAnsi="Arial" w:cs="Arial"/>
          <w:noProof/>
          <w:sz w:val="20"/>
          <w:szCs w:val="24"/>
        </w:rPr>
        <w:t xml:space="preserve"> </w:t>
      </w:r>
      <w:r w:rsidR="00C55833">
        <w:rPr>
          <w:rFonts w:ascii="Arial" w:hAnsi="Arial" w:cs="Arial"/>
          <w:noProof/>
          <w:sz w:val="20"/>
          <w:szCs w:val="24"/>
        </w:rPr>
        <w:t>et al.,</w:t>
      </w:r>
      <w:r w:rsidR="00C55833" w:rsidRPr="00C55833">
        <w:rPr>
          <w:rFonts w:ascii="Arial" w:hAnsi="Arial" w:cs="Arial"/>
          <w:noProof/>
          <w:sz w:val="20"/>
          <w:szCs w:val="24"/>
        </w:rPr>
        <w:t xml:space="preserve"> J. Anal. Appl. Pyrolysis 156 (2021) 105116.</w:t>
      </w:r>
      <w:r w:rsidR="00C55833">
        <w:rPr>
          <w:rFonts w:ascii="Arial" w:hAnsi="Arial" w:cs="Arial"/>
          <w:noProof/>
          <w:sz w:val="20"/>
          <w:szCs w:val="24"/>
        </w:rPr>
        <w:t xml:space="preserve"> </w:t>
      </w:r>
      <w:r w:rsidR="00C55833" w:rsidRPr="00C55833">
        <w:rPr>
          <w:rFonts w:ascii="Arial" w:hAnsi="Arial" w:cs="Arial"/>
          <w:noProof/>
          <w:sz w:val="20"/>
          <w:szCs w:val="24"/>
        </w:rPr>
        <w:t>[3]</w:t>
      </w:r>
      <w:r w:rsidR="00C55833">
        <w:rPr>
          <w:rFonts w:ascii="Arial" w:hAnsi="Arial" w:cs="Arial"/>
          <w:noProof/>
          <w:sz w:val="20"/>
          <w:szCs w:val="24"/>
        </w:rPr>
        <w:t xml:space="preserve"> E. Diguilio</w:t>
      </w:r>
      <w:r w:rsidR="00C55833" w:rsidRPr="00C55833">
        <w:rPr>
          <w:rFonts w:ascii="Arial" w:hAnsi="Arial" w:cs="Arial"/>
          <w:noProof/>
          <w:sz w:val="20"/>
          <w:szCs w:val="24"/>
        </w:rPr>
        <w:t xml:space="preserve"> </w:t>
      </w:r>
      <w:r w:rsidR="00C55833">
        <w:rPr>
          <w:rFonts w:ascii="Arial" w:hAnsi="Arial" w:cs="Arial"/>
          <w:noProof/>
          <w:sz w:val="20"/>
          <w:szCs w:val="24"/>
        </w:rPr>
        <w:t xml:space="preserve">et al. </w:t>
      </w:r>
      <w:r w:rsidR="00C55833" w:rsidRPr="00C55833">
        <w:rPr>
          <w:rFonts w:ascii="Arial" w:hAnsi="Arial" w:cs="Arial"/>
          <w:noProof/>
          <w:sz w:val="20"/>
          <w:szCs w:val="24"/>
        </w:rPr>
        <w:t>New J. Chem. 44 (2020) 4363–4375.</w:t>
      </w:r>
      <w:r w:rsidR="00C55833">
        <w:rPr>
          <w:rFonts w:ascii="Arial" w:hAnsi="Arial" w:cs="Arial"/>
          <w:noProof/>
          <w:sz w:val="20"/>
          <w:szCs w:val="24"/>
        </w:rPr>
        <w:t xml:space="preserve"> [4] </w:t>
      </w:r>
      <w:r w:rsidR="00C55833" w:rsidRPr="00C55833">
        <w:rPr>
          <w:rFonts w:ascii="Arial" w:hAnsi="Arial" w:cs="Arial"/>
          <w:noProof/>
          <w:sz w:val="20"/>
          <w:szCs w:val="24"/>
        </w:rPr>
        <w:t>C.A. Emeis, J. Catal. 141 (1993) 347–354.</w:t>
      </w:r>
    </w:p>
    <w:p w14:paraId="0D20E936" w14:textId="7CA17684" w:rsidR="00F56437" w:rsidRDefault="00F56437" w:rsidP="0066435B">
      <w:pPr>
        <w:widowControl w:val="0"/>
        <w:autoSpaceDE w:val="0"/>
        <w:autoSpaceDN w:val="0"/>
        <w:adjustRightInd w:val="0"/>
        <w:spacing w:after="0" w:line="240" w:lineRule="auto"/>
        <w:ind w:left="284" w:hanging="284"/>
        <w:rPr>
          <w:rFonts w:ascii="Arial" w:hAnsi="Arial" w:cs="Arial"/>
          <w:b/>
          <w:sz w:val="20"/>
          <w:szCs w:val="20"/>
        </w:rPr>
      </w:pPr>
      <w:r w:rsidRPr="00F56437">
        <w:rPr>
          <w:rFonts w:ascii="Arial" w:hAnsi="Arial" w:cs="Arial"/>
          <w:sz w:val="20"/>
          <w:szCs w:val="20"/>
        </w:rPr>
        <w:fldChar w:fldCharType="end"/>
      </w:r>
    </w:p>
    <w:sectPr w:rsidR="00F56437" w:rsidSect="00577156">
      <w:type w:val="continuous"/>
      <w:pgSz w:w="12240" w:h="15840" w:code="1"/>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10C"/>
    <w:rsid w:val="00012E60"/>
    <w:rsid w:val="00014516"/>
    <w:rsid w:val="000551AA"/>
    <w:rsid w:val="0006513C"/>
    <w:rsid w:val="0007142E"/>
    <w:rsid w:val="00074712"/>
    <w:rsid w:val="00086806"/>
    <w:rsid w:val="000A0ED3"/>
    <w:rsid w:val="000B4C1A"/>
    <w:rsid w:val="000F313A"/>
    <w:rsid w:val="001141C0"/>
    <w:rsid w:val="00142D3E"/>
    <w:rsid w:val="00144A57"/>
    <w:rsid w:val="00156EC2"/>
    <w:rsid w:val="00176D4F"/>
    <w:rsid w:val="001857B4"/>
    <w:rsid w:val="001F5EBD"/>
    <w:rsid w:val="00201107"/>
    <w:rsid w:val="00213708"/>
    <w:rsid w:val="00224738"/>
    <w:rsid w:val="00247825"/>
    <w:rsid w:val="00263F9F"/>
    <w:rsid w:val="002641B1"/>
    <w:rsid w:val="0027310C"/>
    <w:rsid w:val="00280A8B"/>
    <w:rsid w:val="002A2796"/>
    <w:rsid w:val="002A3BFE"/>
    <w:rsid w:val="002A5D1E"/>
    <w:rsid w:val="002B1BA9"/>
    <w:rsid w:val="002C2C9F"/>
    <w:rsid w:val="002D251C"/>
    <w:rsid w:val="002D7DB9"/>
    <w:rsid w:val="002E5C09"/>
    <w:rsid w:val="002F1398"/>
    <w:rsid w:val="002F2B9C"/>
    <w:rsid w:val="00336A94"/>
    <w:rsid w:val="00365A15"/>
    <w:rsid w:val="00371669"/>
    <w:rsid w:val="00383497"/>
    <w:rsid w:val="00385FEC"/>
    <w:rsid w:val="003918EE"/>
    <w:rsid w:val="00395214"/>
    <w:rsid w:val="003D505F"/>
    <w:rsid w:val="003E24A4"/>
    <w:rsid w:val="00425FA1"/>
    <w:rsid w:val="00446B6F"/>
    <w:rsid w:val="00460DF6"/>
    <w:rsid w:val="00462D1A"/>
    <w:rsid w:val="00472DD2"/>
    <w:rsid w:val="004A052D"/>
    <w:rsid w:val="004A3C4F"/>
    <w:rsid w:val="004B7910"/>
    <w:rsid w:val="004B7D59"/>
    <w:rsid w:val="005012F3"/>
    <w:rsid w:val="00512936"/>
    <w:rsid w:val="00530355"/>
    <w:rsid w:val="00552096"/>
    <w:rsid w:val="00577156"/>
    <w:rsid w:val="00591A71"/>
    <w:rsid w:val="005A2656"/>
    <w:rsid w:val="005B666B"/>
    <w:rsid w:val="00601D50"/>
    <w:rsid w:val="00617A7E"/>
    <w:rsid w:val="00630F8B"/>
    <w:rsid w:val="0064461A"/>
    <w:rsid w:val="00645CBC"/>
    <w:rsid w:val="0066435B"/>
    <w:rsid w:val="006826E1"/>
    <w:rsid w:val="006B460E"/>
    <w:rsid w:val="006E1DF6"/>
    <w:rsid w:val="006E5356"/>
    <w:rsid w:val="007114DB"/>
    <w:rsid w:val="00723897"/>
    <w:rsid w:val="00742D23"/>
    <w:rsid w:val="00751935"/>
    <w:rsid w:val="00773B67"/>
    <w:rsid w:val="007A1F71"/>
    <w:rsid w:val="007A3EE2"/>
    <w:rsid w:val="007A5138"/>
    <w:rsid w:val="007A6F2F"/>
    <w:rsid w:val="007B240A"/>
    <w:rsid w:val="007B4508"/>
    <w:rsid w:val="007C5A44"/>
    <w:rsid w:val="007E6394"/>
    <w:rsid w:val="008154AE"/>
    <w:rsid w:val="008437CF"/>
    <w:rsid w:val="008D3EB4"/>
    <w:rsid w:val="008E09EB"/>
    <w:rsid w:val="008E3179"/>
    <w:rsid w:val="008E5E45"/>
    <w:rsid w:val="009060C2"/>
    <w:rsid w:val="009232E2"/>
    <w:rsid w:val="00933D0C"/>
    <w:rsid w:val="0099542D"/>
    <w:rsid w:val="009B4968"/>
    <w:rsid w:val="009C5A56"/>
    <w:rsid w:val="009F0CD4"/>
    <w:rsid w:val="00A1562D"/>
    <w:rsid w:val="00A220F3"/>
    <w:rsid w:val="00A456D0"/>
    <w:rsid w:val="00A47B08"/>
    <w:rsid w:val="00A47F0A"/>
    <w:rsid w:val="00A66895"/>
    <w:rsid w:val="00A72B99"/>
    <w:rsid w:val="00A7332F"/>
    <w:rsid w:val="00AB4C89"/>
    <w:rsid w:val="00AC6239"/>
    <w:rsid w:val="00AF64E4"/>
    <w:rsid w:val="00B06197"/>
    <w:rsid w:val="00B50199"/>
    <w:rsid w:val="00B84A49"/>
    <w:rsid w:val="00B97E25"/>
    <w:rsid w:val="00BD613F"/>
    <w:rsid w:val="00BF195E"/>
    <w:rsid w:val="00C05F06"/>
    <w:rsid w:val="00C43F86"/>
    <w:rsid w:val="00C55833"/>
    <w:rsid w:val="00C70958"/>
    <w:rsid w:val="00CD6980"/>
    <w:rsid w:val="00D108DE"/>
    <w:rsid w:val="00D208B6"/>
    <w:rsid w:val="00D20D3F"/>
    <w:rsid w:val="00D27651"/>
    <w:rsid w:val="00D638C9"/>
    <w:rsid w:val="00D736EE"/>
    <w:rsid w:val="00D74EFA"/>
    <w:rsid w:val="00D807F1"/>
    <w:rsid w:val="00D841CC"/>
    <w:rsid w:val="00DF5630"/>
    <w:rsid w:val="00E20033"/>
    <w:rsid w:val="00E24680"/>
    <w:rsid w:val="00E465EE"/>
    <w:rsid w:val="00E633D9"/>
    <w:rsid w:val="00E83FB0"/>
    <w:rsid w:val="00EA3785"/>
    <w:rsid w:val="00F23153"/>
    <w:rsid w:val="00F56437"/>
    <w:rsid w:val="00F72A1D"/>
    <w:rsid w:val="00F875BC"/>
    <w:rsid w:val="00FA37A7"/>
    <w:rsid w:val="00FB5DC1"/>
    <w:rsid w:val="00FD49C9"/>
    <w:rsid w:val="00FF6AB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802B5"/>
  <w15:docId w15:val="{FF0F3C30-CF93-4A07-BE7A-E776C9AF1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B7910"/>
    <w:rPr>
      <w:color w:val="0563C1" w:themeColor="hyperlink"/>
      <w:u w:val="single"/>
    </w:rPr>
  </w:style>
  <w:style w:type="paragraph" w:styleId="Textodeglobo">
    <w:name w:val="Balloon Text"/>
    <w:basedOn w:val="Normal"/>
    <w:link w:val="TextodegloboCar"/>
    <w:uiPriority w:val="99"/>
    <w:semiHidden/>
    <w:unhideWhenUsed/>
    <w:rsid w:val="00460DF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60DF6"/>
    <w:rPr>
      <w:rFonts w:ascii="Tahoma" w:hAnsi="Tahoma" w:cs="Tahoma"/>
      <w:sz w:val="16"/>
      <w:szCs w:val="16"/>
    </w:rPr>
  </w:style>
  <w:style w:type="table" w:styleId="Tablaconcuadrcula">
    <w:name w:val="Table Grid"/>
    <w:basedOn w:val="Tablanormal"/>
    <w:uiPriority w:val="59"/>
    <w:rsid w:val="00FF6A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claro">
    <w:name w:val="Light Shading"/>
    <w:basedOn w:val="Tablanormal"/>
    <w:uiPriority w:val="60"/>
    <w:rsid w:val="00280A8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Cuadrculaclara">
    <w:name w:val="Light Grid"/>
    <w:basedOn w:val="Tablanormal"/>
    <w:uiPriority w:val="62"/>
    <w:rsid w:val="00280A8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Refdecomentario">
    <w:name w:val="annotation reference"/>
    <w:basedOn w:val="Fuentedeprrafopredeter"/>
    <w:uiPriority w:val="99"/>
    <w:semiHidden/>
    <w:unhideWhenUsed/>
    <w:rsid w:val="00FA37A7"/>
    <w:rPr>
      <w:sz w:val="16"/>
      <w:szCs w:val="16"/>
    </w:rPr>
  </w:style>
  <w:style w:type="paragraph" w:styleId="Textocomentario">
    <w:name w:val="annotation text"/>
    <w:basedOn w:val="Normal"/>
    <w:link w:val="TextocomentarioCar"/>
    <w:uiPriority w:val="99"/>
    <w:semiHidden/>
    <w:unhideWhenUsed/>
    <w:rsid w:val="00FA37A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A37A7"/>
    <w:rPr>
      <w:sz w:val="20"/>
      <w:szCs w:val="20"/>
    </w:rPr>
  </w:style>
  <w:style w:type="paragraph" w:styleId="Asuntodelcomentario">
    <w:name w:val="annotation subject"/>
    <w:basedOn w:val="Textocomentario"/>
    <w:next w:val="Textocomentario"/>
    <w:link w:val="AsuntodelcomentarioCar"/>
    <w:uiPriority w:val="99"/>
    <w:semiHidden/>
    <w:unhideWhenUsed/>
    <w:rsid w:val="00FA37A7"/>
    <w:rPr>
      <w:b/>
      <w:bCs/>
    </w:rPr>
  </w:style>
  <w:style w:type="character" w:customStyle="1" w:styleId="AsuntodelcomentarioCar">
    <w:name w:val="Asunto del comentario Car"/>
    <w:basedOn w:val="TextocomentarioCar"/>
    <w:link w:val="Asuntodelcomentario"/>
    <w:uiPriority w:val="99"/>
    <w:semiHidden/>
    <w:rsid w:val="00FA37A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300161">
      <w:bodyDiv w:val="1"/>
      <w:marLeft w:val="0"/>
      <w:marRight w:val="0"/>
      <w:marTop w:val="0"/>
      <w:marBottom w:val="0"/>
      <w:divBdr>
        <w:top w:val="none" w:sz="0" w:space="0" w:color="auto"/>
        <w:left w:val="none" w:sz="0" w:space="0" w:color="auto"/>
        <w:bottom w:val="none" w:sz="0" w:space="0" w:color="auto"/>
        <w:right w:val="none" w:sz="0" w:space="0" w:color="auto"/>
      </w:divBdr>
    </w:div>
    <w:div w:id="321928725">
      <w:bodyDiv w:val="1"/>
      <w:marLeft w:val="0"/>
      <w:marRight w:val="0"/>
      <w:marTop w:val="0"/>
      <w:marBottom w:val="0"/>
      <w:divBdr>
        <w:top w:val="none" w:sz="0" w:space="0" w:color="auto"/>
        <w:left w:val="none" w:sz="0" w:space="0" w:color="auto"/>
        <w:bottom w:val="none" w:sz="0" w:space="0" w:color="auto"/>
        <w:right w:val="none" w:sz="0" w:space="0" w:color="auto"/>
      </w:divBdr>
    </w:div>
    <w:div w:id="404454295">
      <w:bodyDiv w:val="1"/>
      <w:marLeft w:val="0"/>
      <w:marRight w:val="0"/>
      <w:marTop w:val="0"/>
      <w:marBottom w:val="0"/>
      <w:divBdr>
        <w:top w:val="none" w:sz="0" w:space="0" w:color="auto"/>
        <w:left w:val="none" w:sz="0" w:space="0" w:color="auto"/>
        <w:bottom w:val="none" w:sz="0" w:space="0" w:color="auto"/>
        <w:right w:val="none" w:sz="0" w:space="0" w:color="auto"/>
      </w:divBdr>
    </w:div>
    <w:div w:id="838619552">
      <w:bodyDiv w:val="1"/>
      <w:marLeft w:val="0"/>
      <w:marRight w:val="0"/>
      <w:marTop w:val="0"/>
      <w:marBottom w:val="0"/>
      <w:divBdr>
        <w:top w:val="none" w:sz="0" w:space="0" w:color="auto"/>
        <w:left w:val="none" w:sz="0" w:space="0" w:color="auto"/>
        <w:bottom w:val="none" w:sz="0" w:space="0" w:color="auto"/>
        <w:right w:val="none" w:sz="0" w:space="0" w:color="auto"/>
      </w:divBdr>
    </w:div>
    <w:div w:id="847523578">
      <w:bodyDiv w:val="1"/>
      <w:marLeft w:val="0"/>
      <w:marRight w:val="0"/>
      <w:marTop w:val="0"/>
      <w:marBottom w:val="0"/>
      <w:divBdr>
        <w:top w:val="none" w:sz="0" w:space="0" w:color="auto"/>
        <w:left w:val="none" w:sz="0" w:space="0" w:color="auto"/>
        <w:bottom w:val="none" w:sz="0" w:space="0" w:color="auto"/>
        <w:right w:val="none" w:sz="0" w:space="0" w:color="auto"/>
      </w:divBdr>
    </w:div>
    <w:div w:id="922761211">
      <w:bodyDiv w:val="1"/>
      <w:marLeft w:val="0"/>
      <w:marRight w:val="0"/>
      <w:marTop w:val="0"/>
      <w:marBottom w:val="0"/>
      <w:divBdr>
        <w:top w:val="none" w:sz="0" w:space="0" w:color="auto"/>
        <w:left w:val="none" w:sz="0" w:space="0" w:color="auto"/>
        <w:bottom w:val="none" w:sz="0" w:space="0" w:color="auto"/>
        <w:right w:val="none" w:sz="0" w:space="0" w:color="auto"/>
      </w:divBdr>
    </w:div>
    <w:div w:id="1198661650">
      <w:bodyDiv w:val="1"/>
      <w:marLeft w:val="0"/>
      <w:marRight w:val="0"/>
      <w:marTop w:val="0"/>
      <w:marBottom w:val="0"/>
      <w:divBdr>
        <w:top w:val="none" w:sz="0" w:space="0" w:color="auto"/>
        <w:left w:val="none" w:sz="0" w:space="0" w:color="auto"/>
        <w:bottom w:val="none" w:sz="0" w:space="0" w:color="auto"/>
        <w:right w:val="none" w:sz="0" w:space="0" w:color="auto"/>
      </w:divBdr>
    </w:div>
    <w:div w:id="1588151565">
      <w:bodyDiv w:val="1"/>
      <w:marLeft w:val="0"/>
      <w:marRight w:val="0"/>
      <w:marTop w:val="0"/>
      <w:marBottom w:val="0"/>
      <w:divBdr>
        <w:top w:val="none" w:sz="0" w:space="0" w:color="auto"/>
        <w:left w:val="none" w:sz="0" w:space="0" w:color="auto"/>
        <w:bottom w:val="none" w:sz="0" w:space="0" w:color="auto"/>
        <w:right w:val="none" w:sz="0" w:space="0" w:color="auto"/>
      </w:divBdr>
    </w:div>
    <w:div w:id="1617907290">
      <w:bodyDiv w:val="1"/>
      <w:marLeft w:val="0"/>
      <w:marRight w:val="0"/>
      <w:marTop w:val="0"/>
      <w:marBottom w:val="0"/>
      <w:divBdr>
        <w:top w:val="none" w:sz="0" w:space="0" w:color="auto"/>
        <w:left w:val="none" w:sz="0" w:space="0" w:color="auto"/>
        <w:bottom w:val="none" w:sz="0" w:space="0" w:color="auto"/>
        <w:right w:val="none" w:sz="0" w:space="0" w:color="auto"/>
      </w:divBdr>
    </w:div>
    <w:div w:id="1819951858">
      <w:bodyDiv w:val="1"/>
      <w:marLeft w:val="0"/>
      <w:marRight w:val="0"/>
      <w:marTop w:val="0"/>
      <w:marBottom w:val="0"/>
      <w:divBdr>
        <w:top w:val="none" w:sz="0" w:space="0" w:color="auto"/>
        <w:left w:val="none" w:sz="0" w:space="0" w:color="auto"/>
        <w:bottom w:val="none" w:sz="0" w:space="0" w:color="auto"/>
        <w:right w:val="none" w:sz="0" w:space="0" w:color="auto"/>
      </w:divBdr>
    </w:div>
    <w:div w:id="1896114852">
      <w:bodyDiv w:val="1"/>
      <w:marLeft w:val="0"/>
      <w:marRight w:val="0"/>
      <w:marTop w:val="0"/>
      <w:marBottom w:val="0"/>
      <w:divBdr>
        <w:top w:val="none" w:sz="0" w:space="0" w:color="auto"/>
        <w:left w:val="none" w:sz="0" w:space="0" w:color="auto"/>
        <w:bottom w:val="none" w:sz="0" w:space="0" w:color="auto"/>
        <w:right w:val="none" w:sz="0" w:space="0" w:color="auto"/>
      </w:divBdr>
    </w:div>
    <w:div w:id="2081515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w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hyperlink" Target="mailto:cfermanelli@frc.utn.edu.a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BE3F06-6AAA-4D91-A09D-806125CD6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2578</Words>
  <Characters>14182</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Soledad Fermanelli</dc:creator>
  <cp:keywords/>
  <dc:description/>
  <cp:lastModifiedBy>docenteciteq</cp:lastModifiedBy>
  <cp:revision>2</cp:revision>
  <dcterms:created xsi:type="dcterms:W3CDTF">2022-03-22T11:04:00Z</dcterms:created>
  <dcterms:modified xsi:type="dcterms:W3CDTF">2022-03-22T11:04:00Z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b740ba5e-c244-3d51-bd9a-24b794f08433</vt:lpwstr>
  </property>
  <property fmtid="{D5CDD505-2E9C-101B-9397-08002B2CF9AE}" pid="4" name="Mendeley Citation Style_1">
    <vt:lpwstr>http://www.zotero.org/styles/applied-catalysis-a-general</vt:lpwstr>
  </property>
  <property fmtid="{D5CDD505-2E9C-101B-9397-08002B2CF9AE}" pid="5" name="Mendeley Recent Style Id 0_1">
    <vt:lpwstr>http://www.zotero.org/styles/apa</vt:lpwstr>
  </property>
  <property fmtid="{D5CDD505-2E9C-101B-9397-08002B2CF9AE}" pid="6" name="Mendeley Recent Style Name 0_1">
    <vt:lpwstr>American Psychological Association 6th edition</vt:lpwstr>
  </property>
  <property fmtid="{D5CDD505-2E9C-101B-9397-08002B2CF9AE}" pid="7" name="Mendeley Recent Style Id 1_1">
    <vt:lpwstr>http://www.zotero.org/styles/applied-catalysis-a-general</vt:lpwstr>
  </property>
  <property fmtid="{D5CDD505-2E9C-101B-9397-08002B2CF9AE}" pid="8" name="Mendeley Recent Style Name 1_1">
    <vt:lpwstr>Applied Catalysis A, General</vt:lpwstr>
  </property>
  <property fmtid="{D5CDD505-2E9C-101B-9397-08002B2CF9AE}" pid="9" name="Mendeley Recent Style Id 2_1">
    <vt:lpwstr>http://www.zotero.org/styles/bioresource-technology</vt:lpwstr>
  </property>
  <property fmtid="{D5CDD505-2E9C-101B-9397-08002B2CF9AE}" pid="10" name="Mendeley Recent Style Name 2_1">
    <vt:lpwstr>Bioresource Technology</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17th edition (author-date)</vt:lpwstr>
  </property>
  <property fmtid="{D5CDD505-2E9C-101B-9397-08002B2CF9AE}" pid="13" name="Mendeley Recent Style Id 4_1">
    <vt:lpwstr>http://www.zotero.org/styles/harvard-cite-them-right</vt:lpwstr>
  </property>
  <property fmtid="{D5CDD505-2E9C-101B-9397-08002B2CF9AE}" pid="14" name="Mendeley Recent Style Name 4_1">
    <vt:lpwstr>Cite Them Right 10th edition - Harvard</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http://www.zotero.org/styles/modern-humanities-research-association</vt:lpwstr>
  </property>
  <property fmtid="{D5CDD505-2E9C-101B-9397-08002B2CF9AE}" pid="18" name="Mendeley Recent Style Name 6_1">
    <vt:lpwstr>Modern Humanities Research Association 3rd edition (note with bibliography)</vt:lpwstr>
  </property>
  <property fmtid="{D5CDD505-2E9C-101B-9397-08002B2CF9AE}" pid="19" name="Mendeley Recent Style Id 7_1">
    <vt:lpwstr>http://www.zotero.org/styles/modern-language-association</vt:lpwstr>
  </property>
  <property fmtid="{D5CDD505-2E9C-101B-9397-08002B2CF9AE}" pid="20" name="Mendeley Recent Style Name 7_1">
    <vt:lpwstr>Modern Language Association 8th edition</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http://www.zotero.org/styles/sustainable-environment-research</vt:lpwstr>
  </property>
  <property fmtid="{D5CDD505-2E9C-101B-9397-08002B2CF9AE}" pid="24" name="Mendeley Recent Style Name 9_1">
    <vt:lpwstr>Sustainable Environment Research</vt:lpwstr>
  </property>
</Properties>
</file>