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01E3B7" w14:textId="77777777" w:rsidR="00F6052B" w:rsidRPr="00FB62B5" w:rsidRDefault="00FB62B5" w:rsidP="00FB62B5">
      <w:pPr>
        <w:pStyle w:val="a-Articletype"/>
        <w:jc w:val="left"/>
        <w:rPr>
          <w:rFonts w:eastAsia="Times New Roman"/>
          <w:sz w:val="22"/>
        </w:rPr>
      </w:pPr>
      <w:bookmarkStart w:id="0" w:name="_GoBack"/>
      <w:bookmarkEnd w:id="0"/>
      <w:r w:rsidRPr="00735843">
        <w:rPr>
          <w:noProof/>
          <w:lang w:val="es-ES" w:eastAsia="es-ES"/>
        </w:rPr>
        <w:drawing>
          <wp:anchor distT="0" distB="0" distL="114300" distR="114300" simplePos="0" relativeHeight="251658240" behindDoc="0" locked="0" layoutInCell="1" allowOverlap="1" wp14:anchorId="3DBF1BFF" wp14:editId="67A1E159">
            <wp:simplePos x="0" y="0"/>
            <wp:positionH relativeFrom="column">
              <wp:posOffset>5053330</wp:posOffset>
            </wp:positionH>
            <wp:positionV relativeFrom="paragraph">
              <wp:posOffset>-6350</wp:posOffset>
            </wp:positionV>
            <wp:extent cx="1359535" cy="269875"/>
            <wp:effectExtent l="0" t="0" r="0" b="0"/>
            <wp:wrapNone/>
            <wp:docPr id="9" name="Picture 9" descr="E:\Header images\Cropped final on 04 Jan 2021\Check for updates 0.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Header images\Cropped final on 04 Jan 2021\Check for updates 0.7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59535" cy="269875"/>
                    </a:xfrm>
                    <a:prstGeom prst="rect">
                      <a:avLst/>
                    </a:prstGeom>
                    <a:noFill/>
                    <a:ln>
                      <a:noFill/>
                    </a:ln>
                  </pic:spPr>
                </pic:pic>
              </a:graphicData>
            </a:graphic>
            <wp14:sizeRelH relativeFrom="page">
              <wp14:pctWidth>0</wp14:pctWidth>
            </wp14:sizeRelH>
            <wp14:sizeRelV relativeFrom="page">
              <wp14:pctHeight>0</wp14:pctHeight>
            </wp14:sizeRelV>
          </wp:anchor>
        </w:drawing>
      </w:r>
      <w:r w:rsidR="005D1B76" w:rsidRPr="00735843">
        <w:rPr>
          <w:rFonts w:eastAsia="Times New Roman"/>
          <w:sz w:val="22"/>
        </w:rPr>
        <w:t>(</w:t>
      </w:r>
      <w:r w:rsidR="005D1B76" w:rsidRPr="00735843">
        <w:rPr>
          <w:sz w:val="22"/>
        </w:rPr>
        <w:t>Research Article</w:t>
      </w:r>
      <w:r w:rsidR="005D1B76" w:rsidRPr="00735843">
        <w:rPr>
          <w:rFonts w:eastAsia="Times New Roman"/>
          <w:sz w:val="22"/>
        </w:rPr>
        <w:t>)</w:t>
      </w:r>
      <w:r w:rsidRPr="00FB62B5">
        <w:rPr>
          <w:noProof/>
          <w:lang w:eastAsia="en-IN"/>
        </w:rPr>
        <w:t xml:space="preserve"> </w:t>
      </w:r>
      <w:r w:rsidR="00177D20" w:rsidRPr="00FB62B5">
        <w:rPr>
          <w:rFonts w:eastAsia="Times New Roman"/>
          <w:sz w:val="22"/>
        </w:rPr>
        <w:tab/>
      </w:r>
    </w:p>
    <w:p w14:paraId="1489C6B0" w14:textId="77777777" w:rsidR="005D1B76" w:rsidRPr="00E85559" w:rsidRDefault="00735843" w:rsidP="00E85559">
      <w:pPr>
        <w:pStyle w:val="b-Articletitle"/>
        <w:jc w:val="both"/>
        <w:rPr>
          <w:highlight w:val="cyan"/>
        </w:rPr>
      </w:pPr>
      <w:r w:rsidRPr="00E85559">
        <w:t>Synthesis and characterization of Co</w:t>
      </w:r>
      <w:r w:rsidRPr="003C3D56">
        <w:rPr>
          <w:vertAlign w:val="subscript"/>
        </w:rPr>
        <w:t>3</w:t>
      </w:r>
      <w:r w:rsidRPr="00E85559">
        <w:t>O</w:t>
      </w:r>
      <w:r w:rsidRPr="003C3D56">
        <w:rPr>
          <w:vertAlign w:val="subscript"/>
        </w:rPr>
        <w:t>4</w:t>
      </w:r>
      <w:r w:rsidRPr="00E85559">
        <w:t xml:space="preserve"> nanoparticles for use as pigments in solar absorbing paints</w:t>
      </w:r>
      <w:r w:rsidRPr="00E85559">
        <w:rPr>
          <w:highlight w:val="cyan"/>
        </w:rPr>
        <w:t xml:space="preserve"> </w:t>
      </w:r>
    </w:p>
    <w:p w14:paraId="0498144D" w14:textId="385BDE1E" w:rsidR="00DF3565" w:rsidRPr="008823BE" w:rsidRDefault="00E85559" w:rsidP="00E85559">
      <w:pPr>
        <w:pStyle w:val="c-Authorsname"/>
        <w:rPr>
          <w:highlight w:val="cyan"/>
          <w:lang w:val="es-AR"/>
        </w:rPr>
      </w:pPr>
      <w:r w:rsidRPr="008823BE">
        <w:rPr>
          <w:lang w:val="es-AR"/>
        </w:rPr>
        <w:t>Gardey Merino Mar</w:t>
      </w:r>
      <w:r w:rsidR="006E0026">
        <w:rPr>
          <w:lang w:val="es-AR"/>
        </w:rPr>
        <w:t>í</w:t>
      </w:r>
      <w:r w:rsidRPr="008823BE">
        <w:rPr>
          <w:lang w:val="es-AR"/>
        </w:rPr>
        <w:t xml:space="preserve">a Celeste </w:t>
      </w:r>
      <w:r w:rsidRPr="008823BE">
        <w:rPr>
          <w:vertAlign w:val="superscript"/>
          <w:lang w:val="es-AR"/>
        </w:rPr>
        <w:t>1, *</w:t>
      </w:r>
      <w:r w:rsidRPr="008823BE">
        <w:rPr>
          <w:lang w:val="es-AR"/>
        </w:rPr>
        <w:t xml:space="preserve">, </w:t>
      </w:r>
      <w:r w:rsidR="00F102DB" w:rsidRPr="00F102DB">
        <w:rPr>
          <w:lang w:val="es-AR"/>
        </w:rPr>
        <w:t>Rodriguez Ibarra</w:t>
      </w:r>
      <w:r w:rsidRPr="008823BE">
        <w:rPr>
          <w:lang w:val="es-AR"/>
        </w:rPr>
        <w:t xml:space="preserve"> </w:t>
      </w:r>
      <w:r w:rsidR="00F102DB" w:rsidRPr="00F102DB">
        <w:rPr>
          <w:lang w:val="es-AR"/>
        </w:rPr>
        <w:t xml:space="preserve">Mariana Estela </w:t>
      </w:r>
      <w:r w:rsidRPr="008823BE">
        <w:rPr>
          <w:vertAlign w:val="superscript"/>
          <w:lang w:val="es-AR"/>
        </w:rPr>
        <w:t>1</w:t>
      </w:r>
      <w:r w:rsidRPr="008823BE">
        <w:rPr>
          <w:lang w:val="es-AR"/>
        </w:rPr>
        <w:t>, Lascalea Gustavo</w:t>
      </w:r>
      <w:r w:rsidR="006E0026">
        <w:rPr>
          <w:lang w:val="es-AR"/>
        </w:rPr>
        <w:t xml:space="preserve"> Enrique</w:t>
      </w:r>
      <w:r w:rsidRPr="008823BE">
        <w:rPr>
          <w:lang w:val="es-AR"/>
        </w:rPr>
        <w:t xml:space="preserve"> </w:t>
      </w:r>
      <w:r w:rsidRPr="008823BE">
        <w:rPr>
          <w:vertAlign w:val="superscript"/>
          <w:lang w:val="es-AR"/>
        </w:rPr>
        <w:t>2</w:t>
      </w:r>
      <w:r w:rsidRPr="008823BE">
        <w:rPr>
          <w:lang w:val="es-AR"/>
        </w:rPr>
        <w:t xml:space="preserve"> and Vázquez Patricia</w:t>
      </w:r>
      <w:r w:rsidR="006E0026">
        <w:rPr>
          <w:lang w:val="es-AR"/>
        </w:rPr>
        <w:t xml:space="preserve"> Graciela</w:t>
      </w:r>
      <w:r w:rsidRPr="008823BE">
        <w:rPr>
          <w:lang w:val="es-AR"/>
        </w:rPr>
        <w:t xml:space="preserve"> </w:t>
      </w:r>
      <w:r w:rsidRPr="008823BE">
        <w:rPr>
          <w:vertAlign w:val="superscript"/>
          <w:lang w:val="es-AR"/>
        </w:rPr>
        <w:t>3</w:t>
      </w:r>
    </w:p>
    <w:p w14:paraId="594F7097" w14:textId="77777777" w:rsidR="00185EBF" w:rsidRPr="008823BE" w:rsidRDefault="00E85559" w:rsidP="00E85559">
      <w:pPr>
        <w:pStyle w:val="d-Affiliations"/>
        <w:rPr>
          <w:lang w:val="es-AR"/>
        </w:rPr>
      </w:pPr>
      <w:r w:rsidRPr="008823BE">
        <w:rPr>
          <w:vertAlign w:val="superscript"/>
          <w:lang w:val="es-AR"/>
        </w:rPr>
        <w:t>1</w:t>
      </w:r>
      <w:r w:rsidRPr="008823BE">
        <w:rPr>
          <w:lang w:val="es-AR"/>
        </w:rPr>
        <w:t xml:space="preserve"> Grupo CLIOPE, Facultad Regional Mendoza, Universidad Tecnológica Nacional (UTN), Rodríguez 273, (M5502AJE) Mendoza, Argentina.</w:t>
      </w:r>
    </w:p>
    <w:p w14:paraId="579F278C" w14:textId="77777777" w:rsidR="00E85559" w:rsidRPr="008823BE" w:rsidRDefault="00E85559" w:rsidP="00E85559">
      <w:pPr>
        <w:pStyle w:val="d-Affiliations"/>
        <w:rPr>
          <w:lang w:val="es-AR"/>
        </w:rPr>
      </w:pPr>
      <w:r w:rsidRPr="00E85559">
        <w:rPr>
          <w:vertAlign w:val="superscript"/>
        </w:rPr>
        <w:t xml:space="preserve">2 </w:t>
      </w:r>
      <w:r w:rsidRPr="00E85559">
        <w:t xml:space="preserve">LQA – IANIGLA, CCT CONICET Mendoza, Av. </w:t>
      </w:r>
      <w:r w:rsidRPr="008823BE">
        <w:rPr>
          <w:lang w:val="es-AR"/>
        </w:rPr>
        <w:t>Ruiz Leal s/n Parque Gral. San Martin, (M5502IRA) Mendoza, Argentina.</w:t>
      </w:r>
    </w:p>
    <w:p w14:paraId="0FBD05C5" w14:textId="0EF6008A" w:rsidR="00E85559" w:rsidRPr="008823BE" w:rsidRDefault="00E85559" w:rsidP="00E85559">
      <w:pPr>
        <w:pStyle w:val="d-Affiliations"/>
        <w:rPr>
          <w:lang w:val="es-AR"/>
        </w:rPr>
      </w:pPr>
      <w:r w:rsidRPr="008823BE">
        <w:rPr>
          <w:vertAlign w:val="superscript"/>
          <w:lang w:val="es-AR"/>
        </w:rPr>
        <w:t>3</w:t>
      </w:r>
      <w:r w:rsidRPr="008823BE">
        <w:rPr>
          <w:lang w:val="es-AR"/>
        </w:rPr>
        <w:t xml:space="preserve"> Centro de Investigaci</w:t>
      </w:r>
      <w:r w:rsidR="00EA3B5F">
        <w:rPr>
          <w:lang w:val="es-AR"/>
        </w:rPr>
        <w:t>ó</w:t>
      </w:r>
      <w:r w:rsidRPr="008823BE">
        <w:rPr>
          <w:lang w:val="es-AR"/>
        </w:rPr>
        <w:t>n y Desarrollo en Ciencias Aplicadas “Dr. Juan J. Ronco” (CINDECA), CCT CONICET La Plata, Universidad Nacional de La Plata, 47 N° 257, La Plata (B1900AJK), Buenos Aires, Argentina.</w:t>
      </w:r>
    </w:p>
    <w:p w14:paraId="61931D39" w14:textId="77777777" w:rsidR="00DB0FE3" w:rsidRPr="00DB0FE3" w:rsidRDefault="00E31334" w:rsidP="0097689C">
      <w:pPr>
        <w:pStyle w:val="e-Articleinfomation"/>
      </w:pPr>
      <w:r>
        <w:t>GSC Advanced Engineering and Technology</w:t>
      </w:r>
      <w:r w:rsidR="00DB0FE3" w:rsidRPr="00DB0FE3">
        <w:t>, 2021, XX(XX), XXX–XXX</w:t>
      </w:r>
    </w:p>
    <w:p w14:paraId="63D4F88F" w14:textId="77777777" w:rsidR="00185EBF" w:rsidRPr="001C5679" w:rsidRDefault="00185EBF" w:rsidP="00735843">
      <w:pPr>
        <w:pStyle w:val="e-Articleinfomation"/>
      </w:pPr>
      <w:r w:rsidRPr="001C5679">
        <w:t xml:space="preserve">Publication </w:t>
      </w:r>
      <w:r w:rsidRPr="0097689C">
        <w:t xml:space="preserve">history: </w:t>
      </w:r>
      <w:r w:rsidR="00735843" w:rsidRPr="00893C91">
        <w:t xml:space="preserve">Received on </w:t>
      </w:r>
      <w:r w:rsidR="00735843">
        <w:t>08</w:t>
      </w:r>
      <w:r w:rsidR="00735843" w:rsidRPr="00893C91">
        <w:t xml:space="preserve"> May 2021; revised on 1</w:t>
      </w:r>
      <w:r w:rsidR="00735843">
        <w:t>5</w:t>
      </w:r>
      <w:r w:rsidR="00735843" w:rsidRPr="00893C91">
        <w:t xml:space="preserve"> June 2021; accepted on </w:t>
      </w:r>
      <w:r w:rsidR="00735843">
        <w:t>18</w:t>
      </w:r>
      <w:r w:rsidR="00735843" w:rsidRPr="00893C91">
        <w:t xml:space="preserve"> June 2021</w:t>
      </w:r>
    </w:p>
    <w:p w14:paraId="7C507284" w14:textId="77777777" w:rsidR="004B1D8C" w:rsidRPr="001C5679" w:rsidRDefault="004B1D8C" w:rsidP="004B1D8C">
      <w:pPr>
        <w:pStyle w:val="g-DOIinfo"/>
        <w:rPr>
          <w:lang w:eastAsia="zh-CN"/>
        </w:rPr>
      </w:pPr>
      <w:r w:rsidRPr="001C5679">
        <w:t>Article DOI: xxxxxxxxxxxxxxxxxxxxxxxxxxxxxxxxxxx</w:t>
      </w:r>
    </w:p>
    <w:p w14:paraId="354639B9" w14:textId="77777777" w:rsidR="00FB5E23" w:rsidRPr="001C5679" w:rsidRDefault="00FB5E23" w:rsidP="00FB62B5">
      <w:pPr>
        <w:pStyle w:val="m-GeneralHeading1"/>
        <w:tabs>
          <w:tab w:val="left" w:pos="7926"/>
        </w:tabs>
      </w:pPr>
      <w:r w:rsidRPr="001C5679">
        <w:t>Abstract</w:t>
      </w:r>
      <w:r w:rsidR="00FB62B5">
        <w:tab/>
      </w:r>
    </w:p>
    <w:p w14:paraId="62214D24" w14:textId="77777777" w:rsidR="00E85559" w:rsidRDefault="00E85559" w:rsidP="00E85559">
      <w:pPr>
        <w:rPr>
          <w:lang w:val="en-GB"/>
        </w:rPr>
      </w:pPr>
      <w:r w:rsidRPr="0099333A">
        <w:rPr>
          <w:lang w:val="en-GB"/>
        </w:rPr>
        <w:t>This aim of this research is to produce Co</w:t>
      </w:r>
      <w:r w:rsidRPr="00936656">
        <w:rPr>
          <w:vertAlign w:val="subscript"/>
          <w:lang w:val="en-GB"/>
        </w:rPr>
        <w:t>3</w:t>
      </w:r>
      <w:r>
        <w:rPr>
          <w:lang w:val="en-GB"/>
        </w:rPr>
        <w:t>O</w:t>
      </w:r>
      <w:r w:rsidRPr="00936656">
        <w:rPr>
          <w:vertAlign w:val="subscript"/>
          <w:lang w:val="en-GB"/>
        </w:rPr>
        <w:t xml:space="preserve">4 </w:t>
      </w:r>
      <w:r w:rsidRPr="0099333A">
        <w:rPr>
          <w:lang w:val="en-GB"/>
        </w:rPr>
        <w:t xml:space="preserve">oxide by means of one-step solution novel combustion methods using </w:t>
      </w:r>
      <w:r>
        <w:rPr>
          <w:lang w:val="en-GB"/>
        </w:rPr>
        <w:t xml:space="preserve">aspatic acid </w:t>
      </w:r>
      <w:r w:rsidRPr="0099333A">
        <w:rPr>
          <w:lang w:val="en-GB"/>
        </w:rPr>
        <w:t>(C</w:t>
      </w:r>
      <w:r w:rsidRPr="00936656">
        <w:rPr>
          <w:vertAlign w:val="subscript"/>
          <w:lang w:val="en-GB"/>
        </w:rPr>
        <w:t>4</w:t>
      </w:r>
      <w:r w:rsidRPr="0099333A">
        <w:rPr>
          <w:lang w:val="en-GB"/>
        </w:rPr>
        <w:t>H</w:t>
      </w:r>
      <w:r w:rsidRPr="00936656">
        <w:rPr>
          <w:vertAlign w:val="subscript"/>
          <w:lang w:val="en-GB"/>
        </w:rPr>
        <w:t>7</w:t>
      </w:r>
      <w:r w:rsidRPr="0099333A">
        <w:rPr>
          <w:lang w:val="en-GB"/>
        </w:rPr>
        <w:t>NO</w:t>
      </w:r>
      <w:r w:rsidRPr="00936656">
        <w:rPr>
          <w:vertAlign w:val="subscript"/>
          <w:lang w:val="en-GB"/>
        </w:rPr>
        <w:t>4</w:t>
      </w:r>
      <w:r w:rsidRPr="0099333A">
        <w:rPr>
          <w:lang w:val="en-GB"/>
        </w:rPr>
        <w:t xml:space="preserve">); </w:t>
      </w:r>
      <w:r w:rsidRPr="00936656">
        <w:rPr>
          <w:lang w:val="en-GB"/>
        </w:rPr>
        <w:t xml:space="preserve">lysine </w:t>
      </w:r>
      <w:r w:rsidRPr="0099333A">
        <w:rPr>
          <w:lang w:val="en-GB"/>
        </w:rPr>
        <w:t>(C</w:t>
      </w:r>
      <w:r w:rsidRPr="00936656">
        <w:rPr>
          <w:vertAlign w:val="subscript"/>
          <w:lang w:val="en-GB"/>
        </w:rPr>
        <w:t>6</w:t>
      </w:r>
      <w:r w:rsidRPr="0099333A">
        <w:rPr>
          <w:lang w:val="en-GB"/>
        </w:rPr>
        <w:t>H</w:t>
      </w:r>
      <w:r w:rsidRPr="00936656">
        <w:rPr>
          <w:vertAlign w:val="subscript"/>
          <w:lang w:val="en-GB"/>
        </w:rPr>
        <w:t>14</w:t>
      </w:r>
      <w:r w:rsidRPr="0099333A">
        <w:rPr>
          <w:lang w:val="en-GB"/>
        </w:rPr>
        <w:t>N</w:t>
      </w:r>
      <w:r w:rsidRPr="00936656">
        <w:rPr>
          <w:vertAlign w:val="subscript"/>
          <w:lang w:val="en-GB"/>
        </w:rPr>
        <w:t>2</w:t>
      </w:r>
      <w:r w:rsidRPr="0099333A">
        <w:rPr>
          <w:lang w:val="en-GB"/>
        </w:rPr>
        <w:t>O</w:t>
      </w:r>
      <w:r w:rsidRPr="00936656">
        <w:rPr>
          <w:vertAlign w:val="subscript"/>
          <w:lang w:val="en-GB"/>
        </w:rPr>
        <w:t>2</w:t>
      </w:r>
      <w:r w:rsidRPr="0099333A">
        <w:rPr>
          <w:lang w:val="en-GB"/>
        </w:rPr>
        <w:t xml:space="preserve">); </w:t>
      </w:r>
      <w:r w:rsidRPr="00936656">
        <w:rPr>
          <w:lang w:val="en-GB"/>
        </w:rPr>
        <w:t>tris</w:t>
      </w:r>
      <w:r>
        <w:rPr>
          <w:lang w:val="en-GB"/>
        </w:rPr>
        <w:t xml:space="preserve"> </w:t>
      </w:r>
      <w:r w:rsidRPr="00936656">
        <w:rPr>
          <w:lang w:val="en-GB"/>
        </w:rPr>
        <w:t xml:space="preserve">(hydroximethyl) aminomethane </w:t>
      </w:r>
      <w:r w:rsidRPr="0099333A">
        <w:rPr>
          <w:lang w:val="en-GB"/>
        </w:rPr>
        <w:t>(NH</w:t>
      </w:r>
      <w:r w:rsidRPr="00936656">
        <w:rPr>
          <w:vertAlign w:val="subscript"/>
          <w:lang w:val="en-GB"/>
        </w:rPr>
        <w:t>2</w:t>
      </w:r>
      <w:r w:rsidRPr="0099333A">
        <w:rPr>
          <w:lang w:val="en-GB"/>
        </w:rPr>
        <w:t>C (CH</w:t>
      </w:r>
      <w:r w:rsidRPr="00936656">
        <w:rPr>
          <w:vertAlign w:val="subscript"/>
          <w:lang w:val="en-GB"/>
        </w:rPr>
        <w:t>2</w:t>
      </w:r>
      <w:r w:rsidRPr="0099333A">
        <w:rPr>
          <w:lang w:val="en-GB"/>
        </w:rPr>
        <w:t>OH)</w:t>
      </w:r>
      <w:r w:rsidRPr="00936656">
        <w:rPr>
          <w:vertAlign w:val="subscript"/>
          <w:lang w:val="en-GB"/>
        </w:rPr>
        <w:t>3</w:t>
      </w:r>
      <w:r w:rsidRPr="0099333A">
        <w:rPr>
          <w:lang w:val="en-GB"/>
        </w:rPr>
        <w:t xml:space="preserve">) and </w:t>
      </w:r>
      <w:r w:rsidRPr="00936656">
        <w:rPr>
          <w:lang w:val="en-GB"/>
        </w:rPr>
        <w:t xml:space="preserve">ethylene diamine tetra-acetic </w:t>
      </w:r>
      <w:r>
        <w:rPr>
          <w:lang w:val="en-GB"/>
        </w:rPr>
        <w:t xml:space="preserve">acid </w:t>
      </w:r>
      <w:r w:rsidRPr="0099333A">
        <w:rPr>
          <w:lang w:val="en-GB"/>
        </w:rPr>
        <w:t>(C</w:t>
      </w:r>
      <w:r w:rsidRPr="00936656">
        <w:rPr>
          <w:vertAlign w:val="subscript"/>
          <w:lang w:val="en-GB"/>
        </w:rPr>
        <w:t>10</w:t>
      </w:r>
      <w:r w:rsidRPr="0099333A">
        <w:rPr>
          <w:lang w:val="en-GB"/>
        </w:rPr>
        <w:t>H</w:t>
      </w:r>
      <w:r w:rsidRPr="00936656">
        <w:rPr>
          <w:vertAlign w:val="subscript"/>
          <w:lang w:val="en-GB"/>
        </w:rPr>
        <w:t>16</w:t>
      </w:r>
      <w:r w:rsidRPr="0099333A">
        <w:rPr>
          <w:lang w:val="en-GB"/>
        </w:rPr>
        <w:t>N</w:t>
      </w:r>
      <w:r w:rsidRPr="00936656">
        <w:rPr>
          <w:vertAlign w:val="subscript"/>
          <w:lang w:val="en-GB"/>
        </w:rPr>
        <w:t>2</w:t>
      </w:r>
      <w:r w:rsidRPr="0099333A">
        <w:rPr>
          <w:lang w:val="en-GB"/>
        </w:rPr>
        <w:t>O</w:t>
      </w:r>
      <w:r w:rsidRPr="00936656">
        <w:rPr>
          <w:vertAlign w:val="subscript"/>
          <w:lang w:val="en-GB"/>
        </w:rPr>
        <w:t>8</w:t>
      </w:r>
      <w:r w:rsidRPr="0099333A">
        <w:rPr>
          <w:lang w:val="en-GB"/>
        </w:rPr>
        <w:t>)</w:t>
      </w:r>
      <w:r>
        <w:rPr>
          <w:lang w:val="en-GB"/>
        </w:rPr>
        <w:t xml:space="preserve"> </w:t>
      </w:r>
      <w:r w:rsidRPr="0099333A">
        <w:rPr>
          <w:lang w:val="en-GB"/>
        </w:rPr>
        <w:t>as fuels. The pig</w:t>
      </w:r>
      <w:r>
        <w:rPr>
          <w:lang w:val="en-GB"/>
        </w:rPr>
        <w:t>ments were characterized using X</w:t>
      </w:r>
      <w:r w:rsidRPr="0099333A">
        <w:rPr>
          <w:lang w:val="en-GB"/>
        </w:rPr>
        <w:t>-ray diffraction, scanning and transmission electron microscopy, infrared spect</w:t>
      </w:r>
      <w:r>
        <w:rPr>
          <w:lang w:val="en-GB"/>
        </w:rPr>
        <w:t xml:space="preserve">roscopy with Fourier transform </w:t>
      </w:r>
      <w:r w:rsidRPr="002845D9">
        <w:rPr>
          <w:lang w:val="en-GB"/>
        </w:rPr>
        <w:t>and UV-VIS-IR Spectrophotometry.</w:t>
      </w:r>
      <w:r>
        <w:rPr>
          <w:lang w:val="en-GB"/>
        </w:rPr>
        <w:t xml:space="preserve"> </w:t>
      </w:r>
    </w:p>
    <w:p w14:paraId="32993D3D" w14:textId="77777777" w:rsidR="00E85559" w:rsidRPr="00936656" w:rsidRDefault="00E85559" w:rsidP="00E85559">
      <w:pPr>
        <w:rPr>
          <w:lang w:val="en-GB"/>
        </w:rPr>
      </w:pPr>
      <w:r w:rsidRPr="0099333A">
        <w:rPr>
          <w:lang w:val="en-GB"/>
        </w:rPr>
        <w:t>The paint based on alkyd resin was made from pigments obtained</w:t>
      </w:r>
      <w:r w:rsidRPr="006F1139">
        <w:rPr>
          <w:lang w:val="en-GB"/>
        </w:rPr>
        <w:t xml:space="preserve"> (</w:t>
      </w:r>
      <w:r w:rsidRPr="0099333A">
        <w:rPr>
          <w:lang w:val="en-GB"/>
        </w:rPr>
        <w:t>Co</w:t>
      </w:r>
      <w:r w:rsidRPr="00936656">
        <w:rPr>
          <w:vertAlign w:val="subscript"/>
          <w:lang w:val="en-GB"/>
        </w:rPr>
        <w:t>3</w:t>
      </w:r>
      <w:r w:rsidRPr="0099333A">
        <w:rPr>
          <w:lang w:val="en-GB"/>
        </w:rPr>
        <w:t>O</w:t>
      </w:r>
      <w:r w:rsidRPr="00936656">
        <w:rPr>
          <w:vertAlign w:val="subscript"/>
          <w:lang w:val="en-GB"/>
        </w:rPr>
        <w:t>4</w:t>
      </w:r>
      <w:r w:rsidRPr="0099333A">
        <w:rPr>
          <w:lang w:val="en-GB"/>
        </w:rPr>
        <w:t xml:space="preserve"> oxide</w:t>
      </w:r>
      <w:r>
        <w:rPr>
          <w:lang w:val="en-GB"/>
        </w:rPr>
        <w:t>)</w:t>
      </w:r>
      <w:r w:rsidRPr="0099333A">
        <w:rPr>
          <w:lang w:val="en-GB"/>
        </w:rPr>
        <w:t>. In order to make a comparison of the thermal emittance of the paint, two different formulations were prepared and these coating are named "absorbent paint coating": one that included 1% by weight of aluminum in metallic powder and another, with 1% of copper in metallic powder, respectively</w:t>
      </w:r>
      <w:r>
        <w:rPr>
          <w:lang w:val="en-GB"/>
        </w:rPr>
        <w:t>.</w:t>
      </w:r>
      <w:r w:rsidRPr="00CB0040">
        <w:rPr>
          <w:lang w:val="en-GB"/>
        </w:rPr>
        <w:t xml:space="preserve"> </w:t>
      </w:r>
      <w:r w:rsidRPr="002845D9">
        <w:rPr>
          <w:lang w:val="en-GB"/>
        </w:rPr>
        <w:t>The solar absorbance for the Co</w:t>
      </w:r>
      <w:r w:rsidRPr="00936656">
        <w:rPr>
          <w:vertAlign w:val="subscript"/>
          <w:lang w:val="en-GB"/>
        </w:rPr>
        <w:t>3</w:t>
      </w:r>
      <w:r w:rsidRPr="002845D9">
        <w:rPr>
          <w:lang w:val="en-GB"/>
        </w:rPr>
        <w:t>O</w:t>
      </w:r>
      <w:r w:rsidRPr="00936656">
        <w:rPr>
          <w:vertAlign w:val="subscript"/>
          <w:lang w:val="en-GB"/>
        </w:rPr>
        <w:t>4</w:t>
      </w:r>
      <w:r w:rsidRPr="002845D9">
        <w:rPr>
          <w:lang w:val="en-GB"/>
        </w:rPr>
        <w:t xml:space="preserve"> powders, plus quartz cuvette, </w:t>
      </w:r>
      <w:r w:rsidRPr="00B93D39">
        <w:rPr>
          <w:lang w:val="en-GB"/>
        </w:rPr>
        <w:t>gave a value of 0.9 in all cases. An</w:t>
      </w:r>
      <w:r w:rsidRPr="0099333A">
        <w:rPr>
          <w:lang w:val="en-GB"/>
        </w:rPr>
        <w:t xml:space="preserve"> extraordinary value of absorption on the coatings between </w:t>
      </w:r>
      <w:r w:rsidRPr="00B93D39">
        <w:rPr>
          <w:lang w:val="en-GB"/>
        </w:rPr>
        <w:t>95 and 96%</w:t>
      </w:r>
      <w:r w:rsidRPr="0099333A">
        <w:rPr>
          <w:lang w:val="en-GB"/>
        </w:rPr>
        <w:t xml:space="preserve"> was noted. </w:t>
      </w:r>
      <w:r w:rsidRPr="00936656">
        <w:rPr>
          <w:lang w:val="en-GB"/>
        </w:rPr>
        <w:t>These results suggested that the synthesis of combustion in solution makes it possible to obtain a Co</w:t>
      </w:r>
      <w:r w:rsidRPr="00936656">
        <w:rPr>
          <w:vertAlign w:val="subscript"/>
          <w:lang w:val="en-GB"/>
        </w:rPr>
        <w:t>3</w:t>
      </w:r>
      <w:r w:rsidRPr="00936656">
        <w:rPr>
          <w:lang w:val="en-GB"/>
        </w:rPr>
        <w:t>O</w:t>
      </w:r>
      <w:r w:rsidRPr="00936656">
        <w:rPr>
          <w:vertAlign w:val="subscript"/>
          <w:lang w:val="en-GB"/>
        </w:rPr>
        <w:t>4</w:t>
      </w:r>
      <w:r w:rsidRPr="00936656">
        <w:rPr>
          <w:lang w:val="en-GB"/>
        </w:rPr>
        <w:t xml:space="preserve"> absorbent pigment with different fuels.</w:t>
      </w:r>
      <w:r>
        <w:rPr>
          <w:lang w:val="en-GB"/>
        </w:rPr>
        <w:t xml:space="preserve"> </w:t>
      </w:r>
    </w:p>
    <w:p w14:paraId="3BCF1ADD" w14:textId="77777777" w:rsidR="00565E52" w:rsidRPr="00D57CE7" w:rsidRDefault="00E85559" w:rsidP="00E85559">
      <w:r w:rsidRPr="00936656">
        <w:rPr>
          <w:lang w:val="en-GB"/>
        </w:rPr>
        <w:t>These syntheses have a low environmental impact because they are one-step processes. All use low amounts of reactive ash obtained at a calcination of about 500 °C.</w:t>
      </w:r>
      <w:r>
        <w:rPr>
          <w:lang w:val="en-GB"/>
        </w:rPr>
        <w:t xml:space="preserve"> </w:t>
      </w:r>
      <w:r w:rsidRPr="00936656">
        <w:rPr>
          <w:lang w:val="en-GB"/>
        </w:rPr>
        <w:t>These results suggest the possibility of utilizing this oxide in absorbent solar paints.</w:t>
      </w:r>
      <w:r w:rsidR="00565E52" w:rsidRPr="00D57CE7">
        <w:t xml:space="preserve"> </w:t>
      </w:r>
    </w:p>
    <w:p w14:paraId="134651A0" w14:textId="77777777" w:rsidR="00907BD2" w:rsidRDefault="00FB5E23" w:rsidP="001A251A">
      <w:pPr>
        <w:pStyle w:val="j-Keywords"/>
        <w:rPr>
          <w:b w:val="0"/>
          <w:sz w:val="20"/>
        </w:rPr>
      </w:pPr>
      <w:r w:rsidRPr="001C5679">
        <w:t xml:space="preserve">Keywords: </w:t>
      </w:r>
      <w:r w:rsidRPr="001C5679">
        <w:rPr>
          <w:sz w:val="24"/>
          <w:szCs w:val="24"/>
          <w:lang w:val="en-GB" w:eastAsia="en-GB"/>
        </w:rPr>
        <w:t xml:space="preserve"> </w:t>
      </w:r>
      <w:r w:rsidR="00E85559" w:rsidRPr="00E85559">
        <w:rPr>
          <w:b w:val="0"/>
          <w:sz w:val="20"/>
        </w:rPr>
        <w:t>Co</w:t>
      </w:r>
      <w:r w:rsidR="00E85559" w:rsidRPr="00E85559">
        <w:rPr>
          <w:b w:val="0"/>
          <w:sz w:val="20"/>
          <w:vertAlign w:val="subscript"/>
        </w:rPr>
        <w:t>3</w:t>
      </w:r>
      <w:r w:rsidR="00E85559" w:rsidRPr="00E85559">
        <w:rPr>
          <w:b w:val="0"/>
          <w:sz w:val="20"/>
        </w:rPr>
        <w:t>O</w:t>
      </w:r>
      <w:r w:rsidR="00E85559" w:rsidRPr="00E85559">
        <w:rPr>
          <w:b w:val="0"/>
          <w:sz w:val="20"/>
          <w:vertAlign w:val="subscript"/>
        </w:rPr>
        <w:t>4</w:t>
      </w:r>
      <w:r w:rsidR="00E85559" w:rsidRPr="00E85559">
        <w:rPr>
          <w:b w:val="0"/>
          <w:sz w:val="20"/>
        </w:rPr>
        <w:t>; Nanoparticles; Combustion synthesis; Solar absorption; Solar absorbing paints</w:t>
      </w:r>
    </w:p>
    <w:p w14:paraId="0BB62997" w14:textId="77777777" w:rsidR="00E85559" w:rsidRDefault="00E85559" w:rsidP="00E85559">
      <w:pPr>
        <w:pStyle w:val="j-Keywords"/>
        <w:jc w:val="center"/>
        <w:rPr>
          <w:b w:val="0"/>
          <w:sz w:val="20"/>
        </w:rPr>
      </w:pPr>
      <w:r>
        <w:rPr>
          <w:b w:val="0"/>
          <w:noProof/>
          <w:sz w:val="20"/>
          <w:lang w:val="es-ES" w:eastAsia="es-ES"/>
        </w:rPr>
        <w:lastRenderedPageBreak/>
        <w:drawing>
          <wp:inline distT="0" distB="0" distL="0" distR="0" wp14:anchorId="484EF9C2" wp14:editId="18D06CEF">
            <wp:extent cx="4595853" cy="22502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17965" t="13876" r="12815" b="40959"/>
                    <a:stretch/>
                  </pic:blipFill>
                  <pic:spPr bwMode="auto">
                    <a:xfrm>
                      <a:off x="0" y="0"/>
                      <a:ext cx="4599963" cy="2252231"/>
                    </a:xfrm>
                    <a:prstGeom prst="rect">
                      <a:avLst/>
                    </a:prstGeom>
                    <a:noFill/>
                    <a:ln>
                      <a:noFill/>
                    </a:ln>
                    <a:extLst>
                      <a:ext uri="{53640926-AAD7-44D8-BBD7-CCE9431645EC}">
                        <a14:shadowObscured xmlns:a14="http://schemas.microsoft.com/office/drawing/2010/main"/>
                      </a:ext>
                    </a:extLst>
                  </pic:spPr>
                </pic:pic>
              </a:graphicData>
            </a:graphic>
          </wp:inline>
        </w:drawing>
      </w:r>
    </w:p>
    <w:p w14:paraId="66663DC0" w14:textId="77777777" w:rsidR="008A59B2" w:rsidRPr="001C5679" w:rsidRDefault="008A59B2" w:rsidP="00DC5306">
      <w:pPr>
        <w:pStyle w:val="Ttulo1"/>
      </w:pPr>
      <w:r w:rsidRPr="001C5679">
        <w:t>Introduction</w:t>
      </w:r>
    </w:p>
    <w:p w14:paraId="7B5BDBEB" w14:textId="77777777" w:rsidR="00E85559" w:rsidRPr="005A5BA9" w:rsidRDefault="00E85559" w:rsidP="00E85559">
      <w:pPr>
        <w:rPr>
          <w:lang w:val="en-GB"/>
        </w:rPr>
      </w:pPr>
      <w:r w:rsidRPr="005A5BA9">
        <w:rPr>
          <w:lang w:val="en-GB"/>
        </w:rPr>
        <w:t>The International Energy Agency [1] estimates that the share of renewables in primary energy use will increase. Electricity generation from renewables will approximately triple from 2010 to 2035, attaining 31% of total production. In 2035, hydropower will provide half of renewable production, wind nearly one-quarter and solar PV 7.5%. Solar PV production will increase 26-fold from 2010 to 2035. The use of renewables is expected to reduce CO</w:t>
      </w:r>
      <w:r w:rsidRPr="005A5BA9">
        <w:rPr>
          <w:vertAlign w:val="subscript"/>
          <w:lang w:val="en-GB"/>
        </w:rPr>
        <w:t>2</w:t>
      </w:r>
      <w:r w:rsidRPr="005A5BA9">
        <w:rPr>
          <w:lang w:val="en-GB"/>
        </w:rPr>
        <w:t xml:space="preserve"> emissions by over than 4.1 Gt in 2035, contribute to the diversification of the energy sources, reduce oil and gas import bills, and decrease air [2]. In particular, solar energy can be used in industrial, commercial and domestic areas. In domestic applications, households consume energy in air conditioning, heating, water heating, lighting and other applications [3].</w:t>
      </w:r>
    </w:p>
    <w:p w14:paraId="0E10B92A" w14:textId="77777777" w:rsidR="00E85559" w:rsidRPr="005A5BA9" w:rsidRDefault="00E85559" w:rsidP="00E85559">
      <w:pPr>
        <w:rPr>
          <w:lang w:val="en-GB"/>
        </w:rPr>
      </w:pPr>
      <w:r w:rsidRPr="005A5BA9">
        <w:rPr>
          <w:lang w:val="en-GB"/>
        </w:rPr>
        <w:t>In Argentina [4], the average consumption of Sanitary Hot Water (DHW) for a typical family of 3.3 people is about 180 liters of water per day. The energy needed to bring this volume of water from 17 °C to 42 °C (comfort temperature for DHW), requires 5.2 kWh/day (equivalent to 0.5 m</w:t>
      </w:r>
      <w:r w:rsidRPr="005A5BA9">
        <w:rPr>
          <w:vertAlign w:val="superscript"/>
          <w:lang w:val="en-GB"/>
        </w:rPr>
        <w:t>3</w:t>
      </w:r>
      <w:r w:rsidRPr="005A5BA9">
        <w:rPr>
          <w:lang w:val="en-GB"/>
        </w:rPr>
        <w:t xml:space="preserve"> (GN)/day).</w:t>
      </w:r>
    </w:p>
    <w:p w14:paraId="329C3E3A" w14:textId="77777777" w:rsidR="00E85559" w:rsidRPr="005A5BA9" w:rsidRDefault="00E85559" w:rsidP="00E85559">
      <w:pPr>
        <w:rPr>
          <w:lang w:val="en-GB"/>
        </w:rPr>
      </w:pPr>
      <w:r w:rsidRPr="005A5BA9">
        <w:rPr>
          <w:lang w:val="en-GB"/>
        </w:rPr>
        <w:t>Paradoxically, the conventional DHW equipment in Argentina has consumptions, [5] it arises that a basic requirement for ACS equipment to minimize its energy consumption and GEI emissions, both in its conventional version and solar thermal or other technology, it is crucial that they reduce or eliminate the passive consumption [6]. For example, a hybrid solar thermal equipment in central Argentina can typically provide 65% or 70% of the energy used for DHW.</w:t>
      </w:r>
    </w:p>
    <w:p w14:paraId="2F0BF2DD" w14:textId="77777777" w:rsidR="00E85559" w:rsidRPr="005A5BA9" w:rsidRDefault="00E85559" w:rsidP="00E85559">
      <w:pPr>
        <w:rPr>
          <w:lang w:val="en-GB"/>
        </w:rPr>
      </w:pPr>
      <w:r w:rsidRPr="005A5BA9">
        <w:rPr>
          <w:lang w:val="en-GB"/>
        </w:rPr>
        <w:t xml:space="preserve">Solar absorber coatings have attracted a great deal of interest because the efficiency of any solar collector system is strongly dependent on the ability of its absorber to convert solar radiation into heat. The highest photothermal conversion efficiency is to be expected when the coating is able to absorb across most of the solar radiation spectrum (0.3–2.0 </w:t>
      </w:r>
      <w:r w:rsidRPr="005A5BA9">
        <w:rPr>
          <w:rFonts w:ascii="Symbol" w:hAnsi="Symbol"/>
          <w:lang w:val="en-GB"/>
        </w:rPr>
        <w:t></w:t>
      </w:r>
      <w:r w:rsidRPr="005A5BA9">
        <w:rPr>
          <w:lang w:val="en-GB"/>
        </w:rPr>
        <w:t>m), giving the coating a high solar absorptance (</w:t>
      </w:r>
      <w:r w:rsidRPr="005A5BA9">
        <w:rPr>
          <w:rFonts w:ascii="Symbol" w:hAnsi="Symbol"/>
          <w:lang w:val="en-GB"/>
        </w:rPr>
        <w:t></w:t>
      </w:r>
      <w:r w:rsidRPr="005A5BA9">
        <w:rPr>
          <w:lang w:val="en-GB"/>
        </w:rPr>
        <w:t xml:space="preserve">s &gt; 0:90) [7]. </w:t>
      </w:r>
    </w:p>
    <w:p w14:paraId="7870E02C" w14:textId="77777777" w:rsidR="00E85559" w:rsidRPr="005A5BA9" w:rsidRDefault="00E85559" w:rsidP="00E85559">
      <w:pPr>
        <w:rPr>
          <w:lang w:val="en-GB"/>
        </w:rPr>
      </w:pPr>
      <w:r w:rsidRPr="005A5BA9">
        <w:rPr>
          <w:lang w:val="en-GB"/>
        </w:rPr>
        <w:t xml:space="preserve">The selective surfaces used in low-temperature flat solar collectors for domestic water heating can be formed by a metallic substrate (stainless steel, copper, aluminum) with high infrared reflectivity (µ&gt; 3µm) and a paint that It covers with a high absorption in the solar spectrum, that is to say (0.3 µm &lt;µ &lt;3µm), both characteristics give the collector a high energy efficiency. </w:t>
      </w:r>
    </w:p>
    <w:p w14:paraId="1D54FAA9" w14:textId="77777777" w:rsidR="00E85559" w:rsidRPr="005A5BA9" w:rsidRDefault="00E85559" w:rsidP="00E85559">
      <w:pPr>
        <w:rPr>
          <w:lang w:val="en-GB"/>
        </w:rPr>
      </w:pPr>
      <w:r w:rsidRPr="005A5BA9">
        <w:rPr>
          <w:lang w:val="en-GB"/>
        </w:rPr>
        <w:t xml:space="preserve">It has been studied for solar absorbing paints with different pigments, how the concentration to volume of the pigment (PVC) and its thickness influence the transmission and reflection properties; Selective surfaces can also be formed by coatings obtained by methods such as sol-gel [8] and spray pyrolysis [9] where different cobalt oxides have been deposited on stainless steel substrates and have been obtained absorption values of 86% and emittance of 20%. </w:t>
      </w:r>
    </w:p>
    <w:p w14:paraId="6020F6D7" w14:textId="77777777" w:rsidR="00E85559" w:rsidRPr="005A5BA9" w:rsidRDefault="00E85559" w:rsidP="00E85559">
      <w:pPr>
        <w:rPr>
          <w:lang w:val="en-GB"/>
        </w:rPr>
      </w:pPr>
      <w:r w:rsidRPr="005A5BA9">
        <w:rPr>
          <w:lang w:val="en-GB"/>
        </w:rPr>
        <w:t>Co</w:t>
      </w:r>
      <w:r w:rsidRPr="005A5BA9">
        <w:rPr>
          <w:vertAlign w:val="subscript"/>
          <w:lang w:val="en-GB"/>
        </w:rPr>
        <w:t>3</w:t>
      </w:r>
      <w:r w:rsidRPr="005A5BA9">
        <w:rPr>
          <w:lang w:val="en-GB"/>
        </w:rPr>
        <w:t>O</w:t>
      </w:r>
      <w:r w:rsidRPr="005A5BA9">
        <w:rPr>
          <w:vertAlign w:val="subscript"/>
          <w:lang w:val="en-GB"/>
        </w:rPr>
        <w:t>4</w:t>
      </w:r>
      <w:r w:rsidRPr="005A5BA9">
        <w:rPr>
          <w:lang w:val="en-GB"/>
        </w:rPr>
        <w:t xml:space="preserve"> particles have been obtanied by hydrothermal [10] and precipitacion methods [11]. Itteboina and Sau were witnessed many advances in the synthesis and characterization of nonspherical cobalt oxide particles. For example, Hu </w:t>
      </w:r>
      <w:r w:rsidRPr="005A5BA9">
        <w:rPr>
          <w:i/>
          <w:lang w:val="en-GB"/>
        </w:rPr>
        <w:t>et al</w:t>
      </w:r>
      <w:r w:rsidRPr="005A5BA9">
        <w:rPr>
          <w:lang w:val="en-GB"/>
        </w:rPr>
        <w:t>. reported the synthesis of Co</w:t>
      </w:r>
      <w:r w:rsidRPr="005A5BA9">
        <w:rPr>
          <w:vertAlign w:val="subscript"/>
          <w:lang w:val="en-GB"/>
        </w:rPr>
        <w:t>3</w:t>
      </w:r>
      <w:r w:rsidRPr="005A5BA9">
        <w:rPr>
          <w:lang w:val="en-GB"/>
        </w:rPr>
        <w:t>O</w:t>
      </w:r>
      <w:r w:rsidRPr="005A5BA9">
        <w:rPr>
          <w:vertAlign w:val="subscript"/>
          <w:lang w:val="en-GB"/>
        </w:rPr>
        <w:t>4</w:t>
      </w:r>
      <w:r w:rsidRPr="005A5BA9">
        <w:rPr>
          <w:lang w:val="en-GB"/>
        </w:rPr>
        <w:t xml:space="preserve"> particles with different shapes and crystal facets and studied their catalytic properties towards methane combustion reaction [13]. Cao </w:t>
      </w:r>
      <w:r w:rsidRPr="005A5BA9">
        <w:rPr>
          <w:i/>
          <w:lang w:val="en-GB"/>
        </w:rPr>
        <w:t>et al</w:t>
      </w:r>
      <w:r w:rsidRPr="005A5BA9">
        <w:rPr>
          <w:lang w:val="en-GB"/>
        </w:rPr>
        <w:t>. reported the synthesis and studies of catalytic and magnetic properties of porous Co</w:t>
      </w:r>
      <w:r w:rsidRPr="005A5BA9">
        <w:rPr>
          <w:vertAlign w:val="subscript"/>
          <w:lang w:val="en-GB"/>
        </w:rPr>
        <w:t>3</w:t>
      </w:r>
      <w:r w:rsidRPr="005A5BA9">
        <w:rPr>
          <w:lang w:val="en-GB"/>
        </w:rPr>
        <w:t>O</w:t>
      </w:r>
      <w:r w:rsidRPr="005A5BA9">
        <w:rPr>
          <w:vertAlign w:val="subscript"/>
          <w:lang w:val="en-GB"/>
        </w:rPr>
        <w:t xml:space="preserve">4 </w:t>
      </w:r>
      <w:r w:rsidRPr="005A5BA9">
        <w:rPr>
          <w:lang w:val="en-GB"/>
        </w:rPr>
        <w:t>microcubes [14]. Additionally, Xie and Shen synthesized zero-dimensional to hierarchical cobalt oxide nanostructures [15]. By solution combustion syntheses, it is possible to obtain nanoparticles with homogenous crystalline structure by a one step, simple route [16].</w:t>
      </w:r>
    </w:p>
    <w:p w14:paraId="6BAA80F3" w14:textId="77777777" w:rsidR="00E85559" w:rsidRPr="005A5BA9" w:rsidRDefault="00E85559" w:rsidP="00E85559">
      <w:pPr>
        <w:rPr>
          <w:lang w:val="en-GB"/>
        </w:rPr>
      </w:pPr>
      <w:r w:rsidRPr="005A5BA9">
        <w:rPr>
          <w:lang w:val="en-GB"/>
        </w:rPr>
        <w:lastRenderedPageBreak/>
        <w:t>The parameters influencing combustion reactions include type of fuel, fuel to oxidizer ratio, use of an excess of oxidizer, ignition temperature and water content of the precursor mixture [17]. The effect of fuel to oxidizer ratio in microstructure was studied in the synthesis of Co</w:t>
      </w:r>
      <w:r w:rsidRPr="005A5BA9">
        <w:rPr>
          <w:vertAlign w:val="subscript"/>
          <w:lang w:val="en-GB"/>
        </w:rPr>
        <w:t>3</w:t>
      </w:r>
      <w:r w:rsidRPr="005A5BA9">
        <w:rPr>
          <w:lang w:val="en-GB"/>
        </w:rPr>
        <w:t>O</w:t>
      </w:r>
      <w:r w:rsidRPr="005A5BA9">
        <w:rPr>
          <w:vertAlign w:val="subscript"/>
          <w:lang w:val="en-GB"/>
        </w:rPr>
        <w:t>4</w:t>
      </w:r>
      <w:r w:rsidRPr="005A5BA9">
        <w:rPr>
          <w:lang w:val="en-GB"/>
        </w:rPr>
        <w:t xml:space="preserve"> using urea as fuel [18] and, the influence of glycine and urea as fuels was studied to obtain Co</w:t>
      </w:r>
      <w:r w:rsidRPr="005A5BA9">
        <w:rPr>
          <w:vertAlign w:val="subscript"/>
          <w:lang w:val="en-GB"/>
        </w:rPr>
        <w:t>3</w:t>
      </w:r>
      <w:r w:rsidRPr="005A5BA9">
        <w:rPr>
          <w:lang w:val="en-GB"/>
        </w:rPr>
        <w:t>O</w:t>
      </w:r>
      <w:r w:rsidRPr="005A5BA9">
        <w:rPr>
          <w:vertAlign w:val="subscript"/>
          <w:lang w:val="en-GB"/>
        </w:rPr>
        <w:t>4</w:t>
      </w:r>
      <w:r w:rsidRPr="005A5BA9">
        <w:rPr>
          <w:lang w:val="en-GB"/>
        </w:rPr>
        <w:t xml:space="preserve"> through stoichiometric combustion syntheses and in studies for optimized combustion reaction to obtain Al</w:t>
      </w:r>
      <w:r w:rsidRPr="005A5BA9">
        <w:rPr>
          <w:vertAlign w:val="subscript"/>
          <w:lang w:val="en-GB"/>
        </w:rPr>
        <w:t>2</w:t>
      </w:r>
      <w:r w:rsidRPr="005A5BA9">
        <w:rPr>
          <w:lang w:val="en-GB"/>
        </w:rPr>
        <w:t>O</w:t>
      </w:r>
      <w:r w:rsidRPr="005A5BA9">
        <w:rPr>
          <w:vertAlign w:val="subscript"/>
          <w:lang w:val="en-GB"/>
        </w:rPr>
        <w:t>3</w:t>
      </w:r>
      <w:r w:rsidRPr="005A5BA9">
        <w:rPr>
          <w:lang w:val="en-GB"/>
        </w:rPr>
        <w:t xml:space="preserve"> with eight different fuels as lysine, glutamine and arginine, etc [19].</w:t>
      </w:r>
    </w:p>
    <w:p w14:paraId="0721EB3C" w14:textId="77777777" w:rsidR="00E85559" w:rsidRDefault="00E85559" w:rsidP="00E85559">
      <w:pPr>
        <w:rPr>
          <w:lang w:val="en-GB"/>
        </w:rPr>
      </w:pPr>
      <w:r w:rsidRPr="005A5BA9">
        <w:rPr>
          <w:lang w:val="en-GB"/>
        </w:rPr>
        <w:t>This work takes into account that large companies have undertaken an ambitious search betting on innovation and development in order to manufacture produc</w:t>
      </w:r>
      <w:r w:rsidR="003C3D56">
        <w:rPr>
          <w:lang w:val="en-GB"/>
        </w:rPr>
        <w:t>ts that can be upgradable [20].</w:t>
      </w:r>
      <w:r w:rsidRPr="005A5BA9">
        <w:rPr>
          <w:lang w:val="en-GB"/>
        </w:rPr>
        <w:t xml:space="preserve"> That is why we are facing a paradigm shift that has been raised in the face of unresolved issues by the 12 principles of green chemistry, a system known as Circular Economy (CE) [21]. Strictly speaking, the CE seeks to maintain the value of the products, the materials that make them up and the resources with which they were made in order for them to last as long as possible, minimizing the carbon footprint and economic savings [22].</w:t>
      </w:r>
    </w:p>
    <w:p w14:paraId="3B4A0123" w14:textId="49EFB6E7" w:rsidR="00565E52" w:rsidRPr="001C5679" w:rsidRDefault="00E85559" w:rsidP="00E85559">
      <w:r>
        <w:rPr>
          <w:lang w:val="en-GB"/>
        </w:rPr>
        <w:t xml:space="preserve">In this work, the use of new fuels such as lysine mono-hydrochloride (LIS), aspartic acid (ASP), ethylene diamine tetra </w:t>
      </w:r>
      <w:r w:rsidR="00EA3B5F">
        <w:rPr>
          <w:lang w:val="en-GB"/>
        </w:rPr>
        <w:t>acetic</w:t>
      </w:r>
      <w:r>
        <w:rPr>
          <w:lang w:val="en-GB"/>
        </w:rPr>
        <w:t xml:space="preserve"> acid (EDTA), and tri-hydroxy-methyl-aminomethane (TRIS) are proposed to obtain Co</w:t>
      </w:r>
      <w:r>
        <w:rPr>
          <w:vertAlign w:val="subscript"/>
          <w:lang w:val="en-GB"/>
        </w:rPr>
        <w:t>3</w:t>
      </w:r>
      <w:r>
        <w:rPr>
          <w:lang w:val="en-GB"/>
        </w:rPr>
        <w:t>O</w:t>
      </w:r>
      <w:r>
        <w:rPr>
          <w:vertAlign w:val="subscript"/>
          <w:lang w:val="en-GB"/>
        </w:rPr>
        <w:t>4</w:t>
      </w:r>
      <w:r>
        <w:rPr>
          <w:lang w:val="en-GB"/>
        </w:rPr>
        <w:t>, by stoichiometric combustion synthesis (SCS), to be used as pigments in solar absorbing paints. Once obtained by combustion processes, the ashes were calcined at 500 °C in order to get the pigments with the desired crystalline structure. The powders were characterized by X-Ray Diffraction (XRD), Scanning Electron Microscopy (SEM), and Transmission Electron Microscopy (TEM), Infrared Spectroscopy with Fourier transform (FT-IR) techniques. Then, alkyd-based enamel was prepared with the pigment obtained through Asp-based process; the so-prepared enamel was then applied on galvanized steel plates. The spectral absorbance plots of those substrates were determined for the solar spectrum range of radiation.</w:t>
      </w:r>
      <w:r w:rsidR="00565E52" w:rsidRPr="001C5679">
        <w:t xml:space="preserve"> </w:t>
      </w:r>
    </w:p>
    <w:p w14:paraId="211A793A" w14:textId="77777777" w:rsidR="008A59B2" w:rsidRPr="001C5679" w:rsidRDefault="008A59B2" w:rsidP="00DC5306">
      <w:pPr>
        <w:pStyle w:val="Ttulo1"/>
      </w:pPr>
      <w:r w:rsidRPr="001C5679">
        <w:t xml:space="preserve">Material and </w:t>
      </w:r>
      <w:r w:rsidR="003C6513" w:rsidRPr="001C5679">
        <w:t>m</w:t>
      </w:r>
      <w:r w:rsidRPr="001C5679">
        <w:t>ethods</w:t>
      </w:r>
    </w:p>
    <w:p w14:paraId="0FA973ED" w14:textId="77777777" w:rsidR="00E85559" w:rsidRDefault="00E85559" w:rsidP="00E85559">
      <w:pPr>
        <w:pStyle w:val="Ttulo2"/>
        <w:rPr>
          <w:lang w:val="en-GB"/>
        </w:rPr>
      </w:pPr>
      <w:r>
        <w:rPr>
          <w:lang w:val="en-GB"/>
        </w:rPr>
        <w:t>Synthesis of pigments</w:t>
      </w:r>
    </w:p>
    <w:p w14:paraId="72D0F401" w14:textId="77777777" w:rsidR="00E85559" w:rsidRDefault="00E85559" w:rsidP="00E85559">
      <w:pPr>
        <w:rPr>
          <w:lang w:val="en-GB"/>
        </w:rPr>
      </w:pPr>
      <w:r>
        <w:rPr>
          <w:lang w:val="en-GB"/>
        </w:rPr>
        <w:t>All reagents used were Aldrich pro-analysis grade.</w:t>
      </w:r>
    </w:p>
    <w:p w14:paraId="552DD14F" w14:textId="77777777" w:rsidR="00E85559" w:rsidRDefault="00E85559" w:rsidP="00E85559">
      <w:pPr>
        <w:rPr>
          <w:lang w:val="en-GB"/>
        </w:rPr>
      </w:pPr>
      <w:r>
        <w:rPr>
          <w:lang w:val="en-GB"/>
        </w:rPr>
        <w:t>The Co</w:t>
      </w:r>
      <w:r>
        <w:rPr>
          <w:vertAlign w:val="subscript"/>
          <w:lang w:val="en-GB"/>
        </w:rPr>
        <w:t>3</w:t>
      </w:r>
      <w:r>
        <w:rPr>
          <w:lang w:val="en-GB"/>
        </w:rPr>
        <w:t>O</w:t>
      </w:r>
      <w:r>
        <w:rPr>
          <w:vertAlign w:val="subscript"/>
          <w:lang w:val="en-GB"/>
        </w:rPr>
        <w:t>4</w:t>
      </w:r>
      <w:r>
        <w:rPr>
          <w:lang w:val="en-GB"/>
        </w:rPr>
        <w:t xml:space="preserve"> pigments were obtained from Co (NO</w:t>
      </w:r>
      <w:r>
        <w:rPr>
          <w:vertAlign w:val="subscript"/>
          <w:lang w:val="en-GB"/>
        </w:rPr>
        <w:t>3</w:t>
      </w:r>
      <w:r>
        <w:rPr>
          <w:lang w:val="en-GB"/>
        </w:rPr>
        <w:t>)</w:t>
      </w:r>
      <w:r>
        <w:rPr>
          <w:vertAlign w:val="subscript"/>
          <w:lang w:val="en-GB"/>
        </w:rPr>
        <w:t>2</w:t>
      </w:r>
      <w:r>
        <w:rPr>
          <w:lang w:val="en-GB"/>
        </w:rPr>
        <w:t>.6H</w:t>
      </w:r>
      <w:r>
        <w:rPr>
          <w:vertAlign w:val="subscript"/>
          <w:lang w:val="en-GB"/>
        </w:rPr>
        <w:t>2</w:t>
      </w:r>
      <w:r>
        <w:rPr>
          <w:lang w:val="en-GB"/>
        </w:rPr>
        <w:t>O and the fuel chosen in each case was: ASP (C</w:t>
      </w:r>
      <w:r>
        <w:rPr>
          <w:vertAlign w:val="subscript"/>
          <w:lang w:val="en-GB"/>
        </w:rPr>
        <w:t>4</w:t>
      </w:r>
      <w:r>
        <w:rPr>
          <w:lang w:val="en-GB"/>
        </w:rPr>
        <w:t>H</w:t>
      </w:r>
      <w:r>
        <w:rPr>
          <w:vertAlign w:val="subscript"/>
          <w:lang w:val="en-GB"/>
        </w:rPr>
        <w:t>7</w:t>
      </w:r>
      <w:r>
        <w:rPr>
          <w:lang w:val="en-GB"/>
        </w:rPr>
        <w:t>NO</w:t>
      </w:r>
      <w:r>
        <w:rPr>
          <w:vertAlign w:val="subscript"/>
          <w:lang w:val="en-GB"/>
        </w:rPr>
        <w:t>4</w:t>
      </w:r>
      <w:r>
        <w:rPr>
          <w:lang w:val="en-GB"/>
        </w:rPr>
        <w:t>); LIS (C</w:t>
      </w:r>
      <w:r>
        <w:rPr>
          <w:vertAlign w:val="subscript"/>
          <w:lang w:val="en-GB"/>
        </w:rPr>
        <w:t>6</w:t>
      </w:r>
      <w:r>
        <w:rPr>
          <w:lang w:val="en-GB"/>
        </w:rPr>
        <w:t>H</w:t>
      </w:r>
      <w:r>
        <w:rPr>
          <w:vertAlign w:val="subscript"/>
          <w:lang w:val="en-GB"/>
        </w:rPr>
        <w:t>14</w:t>
      </w:r>
      <w:r>
        <w:rPr>
          <w:lang w:val="en-GB"/>
        </w:rPr>
        <w:t>N</w:t>
      </w:r>
      <w:r>
        <w:rPr>
          <w:vertAlign w:val="subscript"/>
          <w:lang w:val="en-GB"/>
        </w:rPr>
        <w:t>2</w:t>
      </w:r>
      <w:r>
        <w:rPr>
          <w:lang w:val="en-GB"/>
        </w:rPr>
        <w:t>O</w:t>
      </w:r>
      <w:r>
        <w:rPr>
          <w:vertAlign w:val="subscript"/>
          <w:lang w:val="en-GB"/>
        </w:rPr>
        <w:t>2</w:t>
      </w:r>
      <w:r>
        <w:rPr>
          <w:lang w:val="en-GB"/>
        </w:rPr>
        <w:t>); TRIS (NH</w:t>
      </w:r>
      <w:r>
        <w:rPr>
          <w:vertAlign w:val="subscript"/>
          <w:lang w:val="en-GB"/>
        </w:rPr>
        <w:t>2</w:t>
      </w:r>
      <w:r>
        <w:rPr>
          <w:lang w:val="en-GB"/>
        </w:rPr>
        <w:t>C (CH</w:t>
      </w:r>
      <w:r>
        <w:rPr>
          <w:vertAlign w:val="subscript"/>
          <w:lang w:val="en-GB"/>
        </w:rPr>
        <w:t>2</w:t>
      </w:r>
      <w:r>
        <w:rPr>
          <w:lang w:val="en-GB"/>
        </w:rPr>
        <w:t>OH)</w:t>
      </w:r>
      <w:r>
        <w:rPr>
          <w:vertAlign w:val="subscript"/>
          <w:lang w:val="en-GB"/>
        </w:rPr>
        <w:t>3</w:t>
      </w:r>
      <w:r>
        <w:rPr>
          <w:lang w:val="en-GB"/>
        </w:rPr>
        <w:t>) and EDTA (C</w:t>
      </w:r>
      <w:r>
        <w:rPr>
          <w:vertAlign w:val="subscript"/>
          <w:lang w:val="en-GB"/>
        </w:rPr>
        <w:t>10</w:t>
      </w:r>
      <w:r>
        <w:rPr>
          <w:lang w:val="en-GB"/>
        </w:rPr>
        <w:t>H</w:t>
      </w:r>
      <w:r>
        <w:rPr>
          <w:vertAlign w:val="subscript"/>
          <w:lang w:val="en-GB"/>
        </w:rPr>
        <w:t>16</w:t>
      </w:r>
      <w:r>
        <w:rPr>
          <w:lang w:val="en-GB"/>
        </w:rPr>
        <w:t>N</w:t>
      </w:r>
      <w:r>
        <w:rPr>
          <w:vertAlign w:val="subscript"/>
          <w:lang w:val="en-GB"/>
        </w:rPr>
        <w:t>2</w:t>
      </w:r>
      <w:r>
        <w:rPr>
          <w:lang w:val="en-GB"/>
        </w:rPr>
        <w:t>O</w:t>
      </w:r>
      <w:r>
        <w:rPr>
          <w:vertAlign w:val="subscript"/>
          <w:lang w:val="en-GB"/>
        </w:rPr>
        <w:t>8</w:t>
      </w:r>
      <w:r>
        <w:rPr>
          <w:lang w:val="en-GB"/>
        </w:rPr>
        <w:t>), respectively. The precursor solution was prepared from 5 g of Co salt, the corresponding stoichiometric amount of fuel and distilled water. The solution has a pH value that depends on fuel used; in all cases it was placed to concentrate on a heating plate at 250 °C. Once the ashes were obtained, they were placed for 1 h in an oven at 200 °C to complete the reaction and, finally, in an air oven at 500 °C for 2 h, for subsequent calcination. The objective is to eliminate carbonaceous residues and obtain the desired crystalline phase, Co</w:t>
      </w:r>
      <w:r>
        <w:rPr>
          <w:vertAlign w:val="subscript"/>
          <w:lang w:val="en-GB"/>
        </w:rPr>
        <w:t>3</w:t>
      </w:r>
      <w:r>
        <w:rPr>
          <w:lang w:val="en-GB"/>
        </w:rPr>
        <w:t>O</w:t>
      </w:r>
      <w:r>
        <w:rPr>
          <w:vertAlign w:val="subscript"/>
          <w:lang w:val="en-GB"/>
        </w:rPr>
        <w:t>4</w:t>
      </w:r>
      <w:r>
        <w:rPr>
          <w:lang w:val="en-GB"/>
        </w:rPr>
        <w:t>.</w:t>
      </w:r>
    </w:p>
    <w:p w14:paraId="59C3A2C8" w14:textId="77777777" w:rsidR="00E85559" w:rsidRPr="00E85559" w:rsidRDefault="00E85559" w:rsidP="00E85559">
      <w:pPr>
        <w:rPr>
          <w:lang w:val="en-GB"/>
        </w:rPr>
      </w:pPr>
      <w:r>
        <w:rPr>
          <w:lang w:val="en-GB"/>
        </w:rPr>
        <w:t>Table 1 indicates the amount of fuel used, the pH of the precursor solution and the end of combustion for each fuel used together with the nomenclature of the samples obtained. In Figure 1, digital photographs of the moment of combustion of each of the syntheses are observed.</w:t>
      </w:r>
    </w:p>
    <w:p w14:paraId="4148BFC1" w14:textId="77777777" w:rsidR="00E85559" w:rsidRDefault="00E85559" w:rsidP="00E85559">
      <w:pPr>
        <w:pStyle w:val="l-CaptionsTables"/>
        <w:rPr>
          <w:bCs/>
          <w:sz w:val="22"/>
          <w:lang w:val="en-GB"/>
        </w:rPr>
      </w:pPr>
      <w:r>
        <w:rPr>
          <w:lang w:val="en-GB"/>
        </w:rPr>
        <w:t xml:space="preserve">Table 1 </w:t>
      </w:r>
      <w:r w:rsidRPr="00E85559">
        <w:rPr>
          <w:b w:val="0"/>
          <w:lang w:val="en-GB"/>
        </w:rPr>
        <w:t>Synthesis variables for the different samples</w:t>
      </w:r>
    </w:p>
    <w:tbl>
      <w:tblPr>
        <w:tblW w:w="8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44" w:type="dxa"/>
          <w:right w:w="144" w:type="dxa"/>
        </w:tblCellMar>
        <w:tblLook w:val="04A0" w:firstRow="1" w:lastRow="0" w:firstColumn="1" w:lastColumn="0" w:noHBand="0" w:noVBand="1"/>
      </w:tblPr>
      <w:tblGrid>
        <w:gridCol w:w="1579"/>
        <w:gridCol w:w="1620"/>
        <w:gridCol w:w="1620"/>
        <w:gridCol w:w="2160"/>
        <w:gridCol w:w="1707"/>
      </w:tblGrid>
      <w:tr w:rsidR="00E85559" w:rsidRPr="00E85559" w14:paraId="79E2F857" w14:textId="77777777" w:rsidTr="003C3D56">
        <w:trPr>
          <w:trHeight w:val="20"/>
          <w:jc w:val="center"/>
        </w:trPr>
        <w:tc>
          <w:tcPr>
            <w:tcW w:w="1579" w:type="dxa"/>
            <w:tcBorders>
              <w:top w:val="single" w:sz="4" w:space="0" w:color="auto"/>
              <w:left w:val="single" w:sz="4" w:space="0" w:color="auto"/>
              <w:bottom w:val="single" w:sz="4" w:space="0" w:color="auto"/>
              <w:right w:val="single" w:sz="4" w:space="0" w:color="auto"/>
            </w:tcBorders>
          </w:tcPr>
          <w:p w14:paraId="1EF11493" w14:textId="77777777" w:rsidR="00E85559" w:rsidRPr="00E85559" w:rsidRDefault="003C3D56" w:rsidP="003C3D56">
            <w:pPr>
              <w:pStyle w:val="o-Table"/>
              <w:jc w:val="center"/>
              <w:rPr>
                <w:b/>
              </w:rPr>
            </w:pPr>
            <w:r>
              <w:rPr>
                <w:b/>
              </w:rPr>
              <w:t>Combustible</w:t>
            </w:r>
          </w:p>
        </w:tc>
        <w:tc>
          <w:tcPr>
            <w:tcW w:w="1620" w:type="dxa"/>
            <w:tcBorders>
              <w:top w:val="single" w:sz="4" w:space="0" w:color="auto"/>
              <w:left w:val="single" w:sz="4" w:space="0" w:color="auto"/>
              <w:bottom w:val="single" w:sz="4" w:space="0" w:color="auto"/>
              <w:right w:val="single" w:sz="4" w:space="0" w:color="auto"/>
            </w:tcBorders>
            <w:hideMark/>
          </w:tcPr>
          <w:p w14:paraId="21AF0D7E" w14:textId="77777777" w:rsidR="00E85559" w:rsidRPr="00E85559" w:rsidRDefault="00E85559" w:rsidP="00E85559">
            <w:pPr>
              <w:pStyle w:val="o-Table"/>
              <w:jc w:val="center"/>
              <w:rPr>
                <w:b/>
              </w:rPr>
            </w:pPr>
            <w:r w:rsidRPr="00E85559">
              <w:rPr>
                <w:b/>
              </w:rPr>
              <w:t>Amount of fuel used [g]</w:t>
            </w:r>
          </w:p>
        </w:tc>
        <w:tc>
          <w:tcPr>
            <w:tcW w:w="1620" w:type="dxa"/>
            <w:tcBorders>
              <w:top w:val="single" w:sz="4" w:space="0" w:color="auto"/>
              <w:left w:val="single" w:sz="4" w:space="0" w:color="auto"/>
              <w:bottom w:val="single" w:sz="4" w:space="0" w:color="auto"/>
              <w:right w:val="single" w:sz="4" w:space="0" w:color="auto"/>
            </w:tcBorders>
            <w:hideMark/>
          </w:tcPr>
          <w:p w14:paraId="53A55631" w14:textId="77777777" w:rsidR="00E85559" w:rsidRPr="00E85559" w:rsidRDefault="00E85559" w:rsidP="00E85559">
            <w:pPr>
              <w:pStyle w:val="o-Table"/>
              <w:jc w:val="center"/>
              <w:rPr>
                <w:b/>
              </w:rPr>
            </w:pPr>
            <w:r w:rsidRPr="00E85559">
              <w:rPr>
                <w:b/>
              </w:rPr>
              <w:t>pH precursor solution</w:t>
            </w:r>
          </w:p>
        </w:tc>
        <w:tc>
          <w:tcPr>
            <w:tcW w:w="2160" w:type="dxa"/>
            <w:tcBorders>
              <w:top w:val="single" w:sz="4" w:space="0" w:color="auto"/>
              <w:left w:val="single" w:sz="4" w:space="0" w:color="auto"/>
              <w:bottom w:val="single" w:sz="4" w:space="0" w:color="auto"/>
              <w:right w:val="single" w:sz="4" w:space="0" w:color="auto"/>
            </w:tcBorders>
            <w:hideMark/>
          </w:tcPr>
          <w:p w14:paraId="08E87138" w14:textId="77777777" w:rsidR="00E85559" w:rsidRPr="00E85559" w:rsidRDefault="00E85559" w:rsidP="00E85559">
            <w:pPr>
              <w:pStyle w:val="o-Table"/>
              <w:jc w:val="center"/>
              <w:rPr>
                <w:b/>
              </w:rPr>
            </w:pPr>
            <w:r w:rsidRPr="00E85559">
              <w:rPr>
                <w:b/>
              </w:rPr>
              <w:t>Combustion</w:t>
            </w:r>
          </w:p>
        </w:tc>
        <w:tc>
          <w:tcPr>
            <w:tcW w:w="1707" w:type="dxa"/>
            <w:tcBorders>
              <w:top w:val="single" w:sz="4" w:space="0" w:color="auto"/>
              <w:left w:val="single" w:sz="4" w:space="0" w:color="auto"/>
              <w:bottom w:val="single" w:sz="4" w:space="0" w:color="auto"/>
              <w:right w:val="single" w:sz="4" w:space="0" w:color="auto"/>
            </w:tcBorders>
            <w:hideMark/>
          </w:tcPr>
          <w:p w14:paraId="584C1588" w14:textId="77777777" w:rsidR="00E85559" w:rsidRPr="00E85559" w:rsidRDefault="00E85559" w:rsidP="00E85559">
            <w:pPr>
              <w:pStyle w:val="o-Table"/>
              <w:jc w:val="center"/>
              <w:rPr>
                <w:b/>
              </w:rPr>
            </w:pPr>
            <w:r w:rsidRPr="00E85559">
              <w:rPr>
                <w:b/>
              </w:rPr>
              <w:t>Denomination of pigments</w:t>
            </w:r>
          </w:p>
        </w:tc>
      </w:tr>
      <w:tr w:rsidR="00E85559" w14:paraId="58AF0BB0" w14:textId="77777777" w:rsidTr="003C3D56">
        <w:trPr>
          <w:trHeight w:val="20"/>
          <w:jc w:val="center"/>
        </w:trPr>
        <w:tc>
          <w:tcPr>
            <w:tcW w:w="1579" w:type="dxa"/>
            <w:tcBorders>
              <w:top w:val="single" w:sz="4" w:space="0" w:color="auto"/>
              <w:left w:val="single" w:sz="4" w:space="0" w:color="auto"/>
              <w:bottom w:val="single" w:sz="4" w:space="0" w:color="auto"/>
              <w:right w:val="single" w:sz="4" w:space="0" w:color="auto"/>
            </w:tcBorders>
            <w:hideMark/>
          </w:tcPr>
          <w:p w14:paraId="135E1E10" w14:textId="77777777" w:rsidR="00E85559" w:rsidRPr="00735843" w:rsidRDefault="00E85559" w:rsidP="00E85559">
            <w:pPr>
              <w:pStyle w:val="o-Table"/>
              <w:jc w:val="center"/>
              <w:rPr>
                <w:bCs/>
              </w:rPr>
            </w:pPr>
            <w:r w:rsidRPr="00735843">
              <w:rPr>
                <w:bCs/>
              </w:rPr>
              <w:t>ASP</w:t>
            </w:r>
          </w:p>
        </w:tc>
        <w:tc>
          <w:tcPr>
            <w:tcW w:w="1620" w:type="dxa"/>
            <w:tcBorders>
              <w:top w:val="single" w:sz="4" w:space="0" w:color="auto"/>
              <w:left w:val="single" w:sz="4" w:space="0" w:color="auto"/>
              <w:bottom w:val="single" w:sz="4" w:space="0" w:color="auto"/>
              <w:right w:val="single" w:sz="4" w:space="0" w:color="auto"/>
            </w:tcBorders>
            <w:hideMark/>
          </w:tcPr>
          <w:p w14:paraId="1CB41A6A" w14:textId="77777777" w:rsidR="00E85559" w:rsidRDefault="00E85559" w:rsidP="00E85559">
            <w:pPr>
              <w:pStyle w:val="o-Table"/>
              <w:jc w:val="center"/>
            </w:pPr>
            <w:r>
              <w:t>1.37</w:t>
            </w:r>
          </w:p>
        </w:tc>
        <w:tc>
          <w:tcPr>
            <w:tcW w:w="1620" w:type="dxa"/>
            <w:tcBorders>
              <w:top w:val="single" w:sz="4" w:space="0" w:color="auto"/>
              <w:left w:val="single" w:sz="4" w:space="0" w:color="auto"/>
              <w:bottom w:val="single" w:sz="4" w:space="0" w:color="auto"/>
              <w:right w:val="single" w:sz="4" w:space="0" w:color="auto"/>
            </w:tcBorders>
            <w:hideMark/>
          </w:tcPr>
          <w:p w14:paraId="44661CBD" w14:textId="77777777" w:rsidR="00E85559" w:rsidRDefault="00E85559" w:rsidP="00E85559">
            <w:pPr>
              <w:pStyle w:val="o-Table"/>
              <w:jc w:val="center"/>
            </w:pPr>
            <w:r>
              <w:t>3</w:t>
            </w:r>
          </w:p>
        </w:tc>
        <w:tc>
          <w:tcPr>
            <w:tcW w:w="2160" w:type="dxa"/>
            <w:tcBorders>
              <w:top w:val="single" w:sz="4" w:space="0" w:color="auto"/>
              <w:left w:val="single" w:sz="4" w:space="0" w:color="auto"/>
              <w:bottom w:val="single" w:sz="4" w:space="0" w:color="auto"/>
              <w:right w:val="single" w:sz="4" w:space="0" w:color="auto"/>
            </w:tcBorders>
            <w:hideMark/>
          </w:tcPr>
          <w:p w14:paraId="1C695C66" w14:textId="77777777" w:rsidR="00E85559" w:rsidRDefault="00E85559" w:rsidP="00E85559">
            <w:pPr>
              <w:pStyle w:val="o-Table"/>
              <w:jc w:val="center"/>
            </w:pPr>
            <w:r>
              <w:t>With spark and flame</w:t>
            </w:r>
          </w:p>
        </w:tc>
        <w:tc>
          <w:tcPr>
            <w:tcW w:w="1707" w:type="dxa"/>
            <w:tcBorders>
              <w:top w:val="single" w:sz="4" w:space="0" w:color="auto"/>
              <w:left w:val="single" w:sz="4" w:space="0" w:color="auto"/>
              <w:bottom w:val="single" w:sz="4" w:space="0" w:color="auto"/>
              <w:right w:val="single" w:sz="4" w:space="0" w:color="auto"/>
            </w:tcBorders>
            <w:hideMark/>
          </w:tcPr>
          <w:p w14:paraId="110A7173" w14:textId="77777777" w:rsidR="00E85559" w:rsidRDefault="00E85559" w:rsidP="00E85559">
            <w:pPr>
              <w:pStyle w:val="o-Table"/>
              <w:jc w:val="center"/>
            </w:pPr>
            <w:r>
              <w:t>Co</w:t>
            </w:r>
            <w:r>
              <w:rPr>
                <w:vertAlign w:val="subscript"/>
              </w:rPr>
              <w:t>3</w:t>
            </w:r>
            <w:r>
              <w:t>O</w:t>
            </w:r>
            <w:r>
              <w:rPr>
                <w:vertAlign w:val="subscript"/>
              </w:rPr>
              <w:t>4</w:t>
            </w:r>
            <w:r>
              <w:t>-ASP</w:t>
            </w:r>
          </w:p>
        </w:tc>
      </w:tr>
      <w:tr w:rsidR="00E85559" w14:paraId="66561A69" w14:textId="77777777" w:rsidTr="003C3D56">
        <w:trPr>
          <w:trHeight w:val="20"/>
          <w:jc w:val="center"/>
        </w:trPr>
        <w:tc>
          <w:tcPr>
            <w:tcW w:w="1579" w:type="dxa"/>
            <w:tcBorders>
              <w:top w:val="single" w:sz="4" w:space="0" w:color="auto"/>
              <w:left w:val="single" w:sz="4" w:space="0" w:color="auto"/>
              <w:bottom w:val="single" w:sz="4" w:space="0" w:color="auto"/>
              <w:right w:val="single" w:sz="4" w:space="0" w:color="auto"/>
            </w:tcBorders>
            <w:hideMark/>
          </w:tcPr>
          <w:p w14:paraId="4E6040A5" w14:textId="77777777" w:rsidR="00E85559" w:rsidRPr="00735843" w:rsidRDefault="00E85559" w:rsidP="00E85559">
            <w:pPr>
              <w:pStyle w:val="o-Table"/>
              <w:jc w:val="center"/>
              <w:rPr>
                <w:bCs/>
              </w:rPr>
            </w:pPr>
            <w:r w:rsidRPr="00735843">
              <w:rPr>
                <w:bCs/>
              </w:rPr>
              <w:t>EDTA</w:t>
            </w:r>
          </w:p>
        </w:tc>
        <w:tc>
          <w:tcPr>
            <w:tcW w:w="1620" w:type="dxa"/>
            <w:tcBorders>
              <w:top w:val="single" w:sz="4" w:space="0" w:color="auto"/>
              <w:left w:val="single" w:sz="4" w:space="0" w:color="auto"/>
              <w:bottom w:val="single" w:sz="4" w:space="0" w:color="auto"/>
              <w:right w:val="single" w:sz="4" w:space="0" w:color="auto"/>
            </w:tcBorders>
            <w:hideMark/>
          </w:tcPr>
          <w:p w14:paraId="5D9CCE62" w14:textId="77777777" w:rsidR="00E85559" w:rsidRDefault="00E85559" w:rsidP="00E85559">
            <w:pPr>
              <w:pStyle w:val="o-Table"/>
              <w:jc w:val="center"/>
            </w:pPr>
            <w:r>
              <w:t>1.13</w:t>
            </w:r>
          </w:p>
        </w:tc>
        <w:tc>
          <w:tcPr>
            <w:tcW w:w="1620" w:type="dxa"/>
            <w:tcBorders>
              <w:top w:val="single" w:sz="4" w:space="0" w:color="auto"/>
              <w:left w:val="single" w:sz="4" w:space="0" w:color="auto"/>
              <w:bottom w:val="single" w:sz="4" w:space="0" w:color="auto"/>
              <w:right w:val="single" w:sz="4" w:space="0" w:color="auto"/>
            </w:tcBorders>
            <w:hideMark/>
          </w:tcPr>
          <w:p w14:paraId="63A67AA3" w14:textId="77777777" w:rsidR="00E85559" w:rsidRDefault="00E85559" w:rsidP="00E85559">
            <w:pPr>
              <w:pStyle w:val="o-Table"/>
              <w:jc w:val="center"/>
            </w:pPr>
            <w:r>
              <w:t>2</w:t>
            </w:r>
          </w:p>
        </w:tc>
        <w:tc>
          <w:tcPr>
            <w:tcW w:w="2160" w:type="dxa"/>
            <w:tcBorders>
              <w:top w:val="single" w:sz="4" w:space="0" w:color="auto"/>
              <w:left w:val="single" w:sz="4" w:space="0" w:color="auto"/>
              <w:bottom w:val="single" w:sz="4" w:space="0" w:color="auto"/>
              <w:right w:val="single" w:sz="4" w:space="0" w:color="auto"/>
            </w:tcBorders>
            <w:hideMark/>
          </w:tcPr>
          <w:p w14:paraId="04BBB4C8" w14:textId="77777777" w:rsidR="00E85559" w:rsidRDefault="00E85559" w:rsidP="00E85559">
            <w:pPr>
              <w:pStyle w:val="o-Table"/>
              <w:jc w:val="center"/>
            </w:pPr>
            <w:r>
              <w:t>No spark and flame</w:t>
            </w:r>
          </w:p>
        </w:tc>
        <w:tc>
          <w:tcPr>
            <w:tcW w:w="1707" w:type="dxa"/>
            <w:tcBorders>
              <w:top w:val="single" w:sz="4" w:space="0" w:color="auto"/>
              <w:left w:val="single" w:sz="4" w:space="0" w:color="auto"/>
              <w:bottom w:val="single" w:sz="4" w:space="0" w:color="auto"/>
              <w:right w:val="single" w:sz="4" w:space="0" w:color="auto"/>
            </w:tcBorders>
            <w:hideMark/>
          </w:tcPr>
          <w:p w14:paraId="30130FE9" w14:textId="77777777" w:rsidR="00E85559" w:rsidRDefault="00E85559" w:rsidP="00E85559">
            <w:pPr>
              <w:pStyle w:val="o-Table"/>
              <w:jc w:val="center"/>
            </w:pPr>
            <w:r>
              <w:t>Co</w:t>
            </w:r>
            <w:r>
              <w:rPr>
                <w:vertAlign w:val="subscript"/>
              </w:rPr>
              <w:t>3</w:t>
            </w:r>
            <w:r>
              <w:t>O</w:t>
            </w:r>
            <w:r>
              <w:rPr>
                <w:vertAlign w:val="subscript"/>
              </w:rPr>
              <w:t>4</w:t>
            </w:r>
            <w:r>
              <w:t>-LIS</w:t>
            </w:r>
          </w:p>
        </w:tc>
      </w:tr>
      <w:tr w:rsidR="00E85559" w14:paraId="4F4BF76D" w14:textId="77777777" w:rsidTr="003C3D56">
        <w:trPr>
          <w:trHeight w:val="20"/>
          <w:jc w:val="center"/>
        </w:trPr>
        <w:tc>
          <w:tcPr>
            <w:tcW w:w="1579" w:type="dxa"/>
            <w:tcBorders>
              <w:top w:val="single" w:sz="4" w:space="0" w:color="auto"/>
              <w:left w:val="single" w:sz="4" w:space="0" w:color="auto"/>
              <w:bottom w:val="single" w:sz="4" w:space="0" w:color="auto"/>
              <w:right w:val="single" w:sz="4" w:space="0" w:color="auto"/>
            </w:tcBorders>
            <w:hideMark/>
          </w:tcPr>
          <w:p w14:paraId="104013E6" w14:textId="77777777" w:rsidR="00E85559" w:rsidRPr="00735843" w:rsidRDefault="00E85559" w:rsidP="00E85559">
            <w:pPr>
              <w:pStyle w:val="o-Table"/>
              <w:jc w:val="center"/>
              <w:rPr>
                <w:bCs/>
              </w:rPr>
            </w:pPr>
            <w:r w:rsidRPr="00735843">
              <w:rPr>
                <w:bCs/>
              </w:rPr>
              <w:t>LIS</w:t>
            </w:r>
          </w:p>
        </w:tc>
        <w:tc>
          <w:tcPr>
            <w:tcW w:w="1620" w:type="dxa"/>
            <w:tcBorders>
              <w:top w:val="single" w:sz="4" w:space="0" w:color="auto"/>
              <w:left w:val="single" w:sz="4" w:space="0" w:color="auto"/>
              <w:bottom w:val="single" w:sz="4" w:space="0" w:color="auto"/>
              <w:right w:val="single" w:sz="4" w:space="0" w:color="auto"/>
            </w:tcBorders>
            <w:hideMark/>
          </w:tcPr>
          <w:p w14:paraId="05482BA9" w14:textId="77777777" w:rsidR="00E85559" w:rsidRDefault="00E85559" w:rsidP="00E85559">
            <w:pPr>
              <w:pStyle w:val="o-Table"/>
              <w:jc w:val="center"/>
            </w:pPr>
            <w:r>
              <w:t>0.83</w:t>
            </w:r>
          </w:p>
        </w:tc>
        <w:tc>
          <w:tcPr>
            <w:tcW w:w="1620" w:type="dxa"/>
            <w:tcBorders>
              <w:top w:val="single" w:sz="4" w:space="0" w:color="auto"/>
              <w:left w:val="single" w:sz="4" w:space="0" w:color="auto"/>
              <w:bottom w:val="single" w:sz="4" w:space="0" w:color="auto"/>
              <w:right w:val="single" w:sz="4" w:space="0" w:color="auto"/>
            </w:tcBorders>
            <w:hideMark/>
          </w:tcPr>
          <w:p w14:paraId="3CBFA259" w14:textId="77777777" w:rsidR="00E85559" w:rsidRDefault="00E85559" w:rsidP="00E85559">
            <w:pPr>
              <w:pStyle w:val="o-Table"/>
              <w:jc w:val="center"/>
            </w:pPr>
            <w:r>
              <w:t>3</w:t>
            </w:r>
          </w:p>
        </w:tc>
        <w:tc>
          <w:tcPr>
            <w:tcW w:w="2160" w:type="dxa"/>
            <w:tcBorders>
              <w:top w:val="single" w:sz="4" w:space="0" w:color="auto"/>
              <w:left w:val="single" w:sz="4" w:space="0" w:color="auto"/>
              <w:bottom w:val="single" w:sz="4" w:space="0" w:color="auto"/>
              <w:right w:val="single" w:sz="4" w:space="0" w:color="auto"/>
            </w:tcBorders>
            <w:hideMark/>
          </w:tcPr>
          <w:p w14:paraId="1EC413C4" w14:textId="77777777" w:rsidR="00E85559" w:rsidRDefault="00E85559" w:rsidP="00E85559">
            <w:pPr>
              <w:pStyle w:val="o-Table"/>
              <w:jc w:val="center"/>
            </w:pPr>
            <w:r>
              <w:t>With spark and flame</w:t>
            </w:r>
          </w:p>
        </w:tc>
        <w:tc>
          <w:tcPr>
            <w:tcW w:w="1707" w:type="dxa"/>
            <w:tcBorders>
              <w:top w:val="single" w:sz="4" w:space="0" w:color="auto"/>
              <w:left w:val="single" w:sz="4" w:space="0" w:color="auto"/>
              <w:bottom w:val="single" w:sz="4" w:space="0" w:color="auto"/>
              <w:right w:val="single" w:sz="4" w:space="0" w:color="auto"/>
            </w:tcBorders>
            <w:hideMark/>
          </w:tcPr>
          <w:p w14:paraId="6336FB1A" w14:textId="77777777" w:rsidR="00E85559" w:rsidRDefault="00E85559" w:rsidP="00E85559">
            <w:pPr>
              <w:pStyle w:val="o-Table"/>
              <w:jc w:val="center"/>
            </w:pPr>
            <w:r>
              <w:t>Co</w:t>
            </w:r>
            <w:r>
              <w:rPr>
                <w:vertAlign w:val="subscript"/>
              </w:rPr>
              <w:t>3</w:t>
            </w:r>
            <w:r>
              <w:t>O</w:t>
            </w:r>
            <w:r>
              <w:rPr>
                <w:vertAlign w:val="subscript"/>
              </w:rPr>
              <w:t>4</w:t>
            </w:r>
            <w:r>
              <w:t>-EDTA</w:t>
            </w:r>
          </w:p>
        </w:tc>
      </w:tr>
      <w:tr w:rsidR="00E85559" w14:paraId="3BA93038" w14:textId="77777777" w:rsidTr="003C3D56">
        <w:trPr>
          <w:trHeight w:val="20"/>
          <w:jc w:val="center"/>
        </w:trPr>
        <w:tc>
          <w:tcPr>
            <w:tcW w:w="1579" w:type="dxa"/>
            <w:tcBorders>
              <w:top w:val="single" w:sz="4" w:space="0" w:color="auto"/>
              <w:left w:val="single" w:sz="4" w:space="0" w:color="auto"/>
              <w:bottom w:val="single" w:sz="4" w:space="0" w:color="auto"/>
              <w:right w:val="single" w:sz="4" w:space="0" w:color="auto"/>
            </w:tcBorders>
            <w:hideMark/>
          </w:tcPr>
          <w:p w14:paraId="305FE86A" w14:textId="77777777" w:rsidR="00E85559" w:rsidRPr="00735843" w:rsidRDefault="00E85559" w:rsidP="00E85559">
            <w:pPr>
              <w:pStyle w:val="o-Table"/>
              <w:jc w:val="center"/>
              <w:rPr>
                <w:bCs/>
              </w:rPr>
            </w:pPr>
            <w:r w:rsidRPr="00735843">
              <w:rPr>
                <w:bCs/>
              </w:rPr>
              <w:t>TRIS</w:t>
            </w:r>
          </w:p>
        </w:tc>
        <w:tc>
          <w:tcPr>
            <w:tcW w:w="1620" w:type="dxa"/>
            <w:tcBorders>
              <w:top w:val="single" w:sz="4" w:space="0" w:color="auto"/>
              <w:left w:val="single" w:sz="4" w:space="0" w:color="auto"/>
              <w:bottom w:val="single" w:sz="4" w:space="0" w:color="auto"/>
              <w:right w:val="single" w:sz="4" w:space="0" w:color="auto"/>
            </w:tcBorders>
            <w:hideMark/>
          </w:tcPr>
          <w:p w14:paraId="6A63FFD9" w14:textId="77777777" w:rsidR="00E85559" w:rsidRDefault="00E85559" w:rsidP="00E85559">
            <w:pPr>
              <w:pStyle w:val="o-Table"/>
              <w:jc w:val="center"/>
            </w:pPr>
            <w:r>
              <w:t>0.89</w:t>
            </w:r>
          </w:p>
        </w:tc>
        <w:tc>
          <w:tcPr>
            <w:tcW w:w="1620" w:type="dxa"/>
            <w:tcBorders>
              <w:top w:val="single" w:sz="4" w:space="0" w:color="auto"/>
              <w:left w:val="single" w:sz="4" w:space="0" w:color="auto"/>
              <w:bottom w:val="single" w:sz="4" w:space="0" w:color="auto"/>
              <w:right w:val="single" w:sz="4" w:space="0" w:color="auto"/>
            </w:tcBorders>
            <w:hideMark/>
          </w:tcPr>
          <w:p w14:paraId="195B23C4" w14:textId="77777777" w:rsidR="00E85559" w:rsidRDefault="00E85559" w:rsidP="00E85559">
            <w:pPr>
              <w:pStyle w:val="o-Table"/>
              <w:jc w:val="center"/>
            </w:pPr>
            <w:r>
              <w:t>7</w:t>
            </w:r>
          </w:p>
        </w:tc>
        <w:tc>
          <w:tcPr>
            <w:tcW w:w="2160" w:type="dxa"/>
            <w:tcBorders>
              <w:top w:val="single" w:sz="4" w:space="0" w:color="auto"/>
              <w:left w:val="single" w:sz="4" w:space="0" w:color="auto"/>
              <w:bottom w:val="single" w:sz="4" w:space="0" w:color="auto"/>
              <w:right w:val="single" w:sz="4" w:space="0" w:color="auto"/>
            </w:tcBorders>
            <w:hideMark/>
          </w:tcPr>
          <w:p w14:paraId="5877DA50" w14:textId="77777777" w:rsidR="00E85559" w:rsidRDefault="00E85559" w:rsidP="00E85559">
            <w:pPr>
              <w:pStyle w:val="o-Table"/>
              <w:jc w:val="center"/>
            </w:pPr>
            <w:r>
              <w:t>No spark and flame</w:t>
            </w:r>
          </w:p>
        </w:tc>
        <w:tc>
          <w:tcPr>
            <w:tcW w:w="1707" w:type="dxa"/>
            <w:tcBorders>
              <w:top w:val="single" w:sz="4" w:space="0" w:color="auto"/>
              <w:left w:val="single" w:sz="4" w:space="0" w:color="auto"/>
              <w:bottom w:val="single" w:sz="4" w:space="0" w:color="auto"/>
              <w:right w:val="single" w:sz="4" w:space="0" w:color="auto"/>
            </w:tcBorders>
            <w:hideMark/>
          </w:tcPr>
          <w:p w14:paraId="08FF0D2D" w14:textId="77777777" w:rsidR="00E85559" w:rsidRDefault="00E85559" w:rsidP="00E85559">
            <w:pPr>
              <w:pStyle w:val="o-Table"/>
              <w:jc w:val="center"/>
            </w:pPr>
            <w:r>
              <w:t>Co</w:t>
            </w:r>
            <w:r>
              <w:rPr>
                <w:vertAlign w:val="subscript"/>
              </w:rPr>
              <w:t>3</w:t>
            </w:r>
            <w:r>
              <w:t>O</w:t>
            </w:r>
            <w:r>
              <w:rPr>
                <w:vertAlign w:val="subscript"/>
              </w:rPr>
              <w:t>4</w:t>
            </w:r>
            <w:r>
              <w:t>-TRIS</w:t>
            </w:r>
          </w:p>
        </w:tc>
      </w:tr>
    </w:tbl>
    <w:p w14:paraId="64ABA903" w14:textId="77777777" w:rsidR="00E85559" w:rsidRDefault="00E85559" w:rsidP="00E85559">
      <w:pPr>
        <w:spacing w:line="480" w:lineRule="auto"/>
        <w:rPr>
          <w:b/>
          <w:bCs/>
          <w:sz w:val="22"/>
          <w:lang w:val="en-GB"/>
        </w:rPr>
      </w:pPr>
    </w:p>
    <w:p w14:paraId="287FBBAC" w14:textId="77777777" w:rsidR="00E85559" w:rsidRDefault="00565E52" w:rsidP="00E85559">
      <w:pPr>
        <w:rPr>
          <w:lang w:val="pt-BR"/>
        </w:rPr>
      </w:pPr>
      <w:r w:rsidRPr="00E85559">
        <w:rPr>
          <w:b/>
          <w:bCs/>
          <w:sz w:val="22"/>
          <w:lang w:val="en-GB"/>
        </w:rPr>
        <w:t xml:space="preserve"> </w:t>
      </w:r>
      <w:r w:rsidR="00E85559">
        <w:rPr>
          <w:lang w:val="pt-BR"/>
        </w:rPr>
        <w:t>To determine the mole fuel/mole Co ratio, the following stoichiometric reactions were postulated for each fuel:</w:t>
      </w:r>
    </w:p>
    <w:p w14:paraId="474F7852" w14:textId="77777777" w:rsidR="00E85559" w:rsidRDefault="00E85559" w:rsidP="00E85559">
      <w:pPr>
        <w:spacing w:line="480" w:lineRule="auto"/>
        <w:rPr>
          <w:sz w:val="24"/>
          <w:szCs w:val="24"/>
          <w:lang w:val="pt-BR"/>
        </w:rPr>
      </w:pPr>
    </w:p>
    <w:p w14:paraId="4EC7BC87" w14:textId="77777777" w:rsidR="00E85559" w:rsidRDefault="00E85559" w:rsidP="00E85559">
      <w:pPr>
        <w:rPr>
          <w:lang w:val="pt-BR"/>
        </w:rPr>
      </w:pPr>
      <w:r>
        <w:rPr>
          <w:lang w:val="pt-BR"/>
        </w:rPr>
        <w:lastRenderedPageBreak/>
        <w:t>For syntheses using ASP:</w:t>
      </w:r>
    </w:p>
    <w:p w14:paraId="5F985F9B" w14:textId="77777777" w:rsidR="00E85559" w:rsidRPr="00E85559" w:rsidRDefault="00E85559" w:rsidP="00E85559">
      <w:pPr>
        <w:rPr>
          <w:b/>
          <w:lang w:val="pt-BR"/>
        </w:rPr>
      </w:pPr>
      <w:r>
        <w:rPr>
          <w:lang w:val="pt-BR"/>
        </w:rPr>
        <w:t>10 Co(NO</w:t>
      </w:r>
      <w:r>
        <w:rPr>
          <w:vertAlign w:val="subscript"/>
          <w:lang w:val="pt-BR"/>
        </w:rPr>
        <w:t>3</w:t>
      </w:r>
      <w:r>
        <w:rPr>
          <w:lang w:val="pt-BR"/>
        </w:rPr>
        <w:t>)</w:t>
      </w:r>
      <w:r>
        <w:rPr>
          <w:vertAlign w:val="subscript"/>
          <w:lang w:val="pt-BR"/>
        </w:rPr>
        <w:t>2</w:t>
      </w:r>
      <w:r>
        <w:rPr>
          <w:lang w:val="pt-BR"/>
        </w:rPr>
        <w:t>.6H</w:t>
      </w:r>
      <w:r>
        <w:rPr>
          <w:vertAlign w:val="subscript"/>
          <w:lang w:val="pt-BR"/>
        </w:rPr>
        <w:t>2</w:t>
      </w:r>
      <w:r>
        <w:rPr>
          <w:lang w:val="pt-BR"/>
        </w:rPr>
        <w:t xml:space="preserve">O + 6 </w:t>
      </w:r>
      <w:bookmarkStart w:id="1" w:name="_Hlk72404687"/>
      <w:r>
        <w:rPr>
          <w:lang w:val="pt-BR"/>
        </w:rPr>
        <w:t>C</w:t>
      </w:r>
      <w:r>
        <w:rPr>
          <w:vertAlign w:val="subscript"/>
          <w:lang w:val="pt-BR"/>
        </w:rPr>
        <w:t>4</w:t>
      </w:r>
      <w:r>
        <w:rPr>
          <w:lang w:val="pt-BR"/>
        </w:rPr>
        <w:t>H</w:t>
      </w:r>
      <w:r>
        <w:rPr>
          <w:vertAlign w:val="subscript"/>
          <w:lang w:val="pt-BR"/>
        </w:rPr>
        <w:t>7</w:t>
      </w:r>
      <w:r>
        <w:rPr>
          <w:lang w:val="pt-BR"/>
        </w:rPr>
        <w:t>NO</w:t>
      </w:r>
      <w:r>
        <w:rPr>
          <w:vertAlign w:val="subscript"/>
          <w:lang w:val="pt-BR"/>
        </w:rPr>
        <w:t>4</w:t>
      </w:r>
      <w:bookmarkEnd w:id="1"/>
      <w:r>
        <w:rPr>
          <w:vertAlign w:val="subscript"/>
          <w:lang w:val="pt-BR"/>
        </w:rPr>
        <w:t xml:space="preserve">  </w:t>
      </w:r>
      <w:r>
        <w:rPr>
          <w:lang w:val="pt-BR"/>
        </w:rPr>
        <w:t>→ 5 Co</w:t>
      </w:r>
      <w:r>
        <w:rPr>
          <w:vertAlign w:val="subscript"/>
          <w:lang w:val="pt-BR"/>
        </w:rPr>
        <w:t>2</w:t>
      </w:r>
      <w:r>
        <w:rPr>
          <w:lang w:val="pt-BR"/>
        </w:rPr>
        <w:t>O</w:t>
      </w:r>
      <w:r>
        <w:rPr>
          <w:vertAlign w:val="subscript"/>
          <w:lang w:val="pt-BR"/>
        </w:rPr>
        <w:t>3</w:t>
      </w:r>
      <w:r>
        <w:rPr>
          <w:lang w:val="pt-BR"/>
        </w:rPr>
        <w:t xml:space="preserve"> + 24 CO</w:t>
      </w:r>
      <w:r>
        <w:rPr>
          <w:vertAlign w:val="subscript"/>
          <w:lang w:val="pt-BR"/>
        </w:rPr>
        <w:t xml:space="preserve">2 </w:t>
      </w:r>
      <w:r>
        <w:rPr>
          <w:lang w:val="pt-BR"/>
        </w:rPr>
        <w:t>+ 81 H</w:t>
      </w:r>
      <w:r>
        <w:rPr>
          <w:vertAlign w:val="subscript"/>
          <w:lang w:val="pt-BR"/>
        </w:rPr>
        <w:t>2</w:t>
      </w:r>
      <w:r>
        <w:rPr>
          <w:lang w:val="pt-BR"/>
        </w:rPr>
        <w:t>O + 3 N</w:t>
      </w:r>
      <w:r>
        <w:rPr>
          <w:vertAlign w:val="subscript"/>
          <w:lang w:val="pt-BR"/>
        </w:rPr>
        <w:t>2</w:t>
      </w:r>
      <w:r>
        <w:rPr>
          <w:lang w:val="pt-BR"/>
        </w:rPr>
        <w:t xml:space="preserve">                   </w:t>
      </w:r>
      <w:r>
        <w:rPr>
          <w:b/>
          <w:lang w:val="pt-BR"/>
        </w:rPr>
        <w:t>(1)</w:t>
      </w:r>
    </w:p>
    <w:p w14:paraId="7398B1F8" w14:textId="77777777" w:rsidR="00E85559" w:rsidRDefault="00E85559" w:rsidP="00E85559">
      <w:pPr>
        <w:rPr>
          <w:lang w:val="en-GB"/>
        </w:rPr>
      </w:pPr>
      <w:r>
        <w:rPr>
          <w:iCs/>
          <w:lang w:val="en-GB"/>
        </w:rPr>
        <w:t>For syntheses using EDTA</w:t>
      </w:r>
      <w:r>
        <w:rPr>
          <w:lang w:val="en-GB"/>
        </w:rPr>
        <w:t>:</w:t>
      </w:r>
    </w:p>
    <w:p w14:paraId="43F0702E" w14:textId="77777777" w:rsidR="00E85559" w:rsidRPr="00E85559" w:rsidRDefault="00E85559" w:rsidP="00E85559">
      <w:pPr>
        <w:rPr>
          <w:b/>
          <w:lang w:val="pt-BR"/>
        </w:rPr>
      </w:pPr>
      <w:r>
        <w:rPr>
          <w:lang w:val="pt-BR"/>
        </w:rPr>
        <w:t>40 Co(NO</w:t>
      </w:r>
      <w:r>
        <w:rPr>
          <w:vertAlign w:val="subscript"/>
          <w:lang w:val="pt-BR"/>
        </w:rPr>
        <w:t>3</w:t>
      </w:r>
      <w:r>
        <w:rPr>
          <w:lang w:val="pt-BR"/>
        </w:rPr>
        <w:t>)</w:t>
      </w:r>
      <w:r>
        <w:rPr>
          <w:vertAlign w:val="subscript"/>
          <w:lang w:val="pt-BR"/>
        </w:rPr>
        <w:t>2</w:t>
      </w:r>
      <w:r>
        <w:rPr>
          <w:lang w:val="pt-BR"/>
        </w:rPr>
        <w:t>.6H</w:t>
      </w:r>
      <w:r>
        <w:rPr>
          <w:vertAlign w:val="subscript"/>
          <w:lang w:val="pt-BR"/>
        </w:rPr>
        <w:t>2</w:t>
      </w:r>
      <w:r>
        <w:rPr>
          <w:lang w:val="pt-BR"/>
        </w:rPr>
        <w:t>O + 9 C</w:t>
      </w:r>
      <w:r>
        <w:rPr>
          <w:vertAlign w:val="subscript"/>
          <w:lang w:val="pt-BR"/>
        </w:rPr>
        <w:t>10</w:t>
      </w:r>
      <w:r>
        <w:rPr>
          <w:lang w:val="pt-BR"/>
        </w:rPr>
        <w:t>H</w:t>
      </w:r>
      <w:r>
        <w:rPr>
          <w:vertAlign w:val="subscript"/>
          <w:lang w:val="pt-BR"/>
        </w:rPr>
        <w:t>16</w:t>
      </w:r>
      <w:r>
        <w:rPr>
          <w:lang w:val="pt-BR"/>
        </w:rPr>
        <w:t>N</w:t>
      </w:r>
      <w:r>
        <w:rPr>
          <w:vertAlign w:val="subscript"/>
          <w:lang w:val="pt-BR"/>
        </w:rPr>
        <w:t>2</w:t>
      </w:r>
      <w:r>
        <w:rPr>
          <w:lang w:val="pt-BR"/>
        </w:rPr>
        <w:t>O</w:t>
      </w:r>
      <w:r>
        <w:rPr>
          <w:vertAlign w:val="subscript"/>
          <w:lang w:val="pt-BR"/>
        </w:rPr>
        <w:t xml:space="preserve">8  </w:t>
      </w:r>
      <w:r>
        <w:rPr>
          <w:lang w:val="pt-BR"/>
        </w:rPr>
        <w:t>→ 20 Co</w:t>
      </w:r>
      <w:r>
        <w:rPr>
          <w:vertAlign w:val="subscript"/>
          <w:lang w:val="pt-BR"/>
        </w:rPr>
        <w:t>2</w:t>
      </w:r>
      <w:r>
        <w:rPr>
          <w:lang w:val="pt-BR"/>
        </w:rPr>
        <w:t>O</w:t>
      </w:r>
      <w:r>
        <w:rPr>
          <w:vertAlign w:val="subscript"/>
          <w:lang w:val="pt-BR"/>
        </w:rPr>
        <w:t>3</w:t>
      </w:r>
      <w:r>
        <w:rPr>
          <w:lang w:val="pt-BR"/>
        </w:rPr>
        <w:t xml:space="preserve"> + 90 CO</w:t>
      </w:r>
      <w:r>
        <w:rPr>
          <w:vertAlign w:val="subscript"/>
          <w:lang w:val="pt-BR"/>
        </w:rPr>
        <w:t xml:space="preserve">2 </w:t>
      </w:r>
      <w:r>
        <w:rPr>
          <w:lang w:val="pt-BR"/>
        </w:rPr>
        <w:t>+ 312 H</w:t>
      </w:r>
      <w:r>
        <w:rPr>
          <w:vertAlign w:val="subscript"/>
          <w:lang w:val="pt-BR"/>
        </w:rPr>
        <w:t>2</w:t>
      </w:r>
      <w:r>
        <w:rPr>
          <w:lang w:val="pt-BR"/>
        </w:rPr>
        <w:t>O + 49 N</w:t>
      </w:r>
      <w:r>
        <w:rPr>
          <w:vertAlign w:val="subscript"/>
          <w:lang w:val="pt-BR"/>
        </w:rPr>
        <w:t>2</w:t>
      </w:r>
      <w:r>
        <w:rPr>
          <w:lang w:val="pt-BR"/>
        </w:rPr>
        <w:t xml:space="preserve">          </w:t>
      </w:r>
      <w:r>
        <w:rPr>
          <w:b/>
          <w:lang w:val="pt-BR"/>
        </w:rPr>
        <w:t>(2)</w:t>
      </w:r>
    </w:p>
    <w:p w14:paraId="7A0C5C90" w14:textId="77777777" w:rsidR="00E85559" w:rsidRDefault="00E85559" w:rsidP="00E85559">
      <w:pPr>
        <w:rPr>
          <w:iCs/>
          <w:lang w:val="en-GB"/>
        </w:rPr>
      </w:pPr>
      <w:r>
        <w:rPr>
          <w:iCs/>
          <w:lang w:val="en-GB"/>
        </w:rPr>
        <w:t xml:space="preserve">For syntheses using LIS: </w:t>
      </w:r>
    </w:p>
    <w:p w14:paraId="474807EF" w14:textId="77777777" w:rsidR="00E85559" w:rsidRPr="00E85559" w:rsidRDefault="00E85559" w:rsidP="00E85559">
      <w:pPr>
        <w:rPr>
          <w:vertAlign w:val="subscript"/>
          <w:lang w:val="pt-BR"/>
        </w:rPr>
      </w:pPr>
      <w:r>
        <w:rPr>
          <w:lang w:val="pt-BR"/>
        </w:rPr>
        <w:t>34 Co(NO</w:t>
      </w:r>
      <w:r>
        <w:rPr>
          <w:vertAlign w:val="subscript"/>
          <w:lang w:val="pt-BR"/>
        </w:rPr>
        <w:t>3</w:t>
      </w:r>
      <w:r>
        <w:rPr>
          <w:lang w:val="pt-BR"/>
        </w:rPr>
        <w:t>)</w:t>
      </w:r>
      <w:r>
        <w:rPr>
          <w:vertAlign w:val="subscript"/>
          <w:lang w:val="pt-BR"/>
        </w:rPr>
        <w:t>2</w:t>
      </w:r>
      <w:r>
        <w:rPr>
          <w:lang w:val="pt-BR"/>
        </w:rPr>
        <w:t>.6H</w:t>
      </w:r>
      <w:r>
        <w:rPr>
          <w:vertAlign w:val="subscript"/>
          <w:lang w:val="pt-BR"/>
        </w:rPr>
        <w:t>2</w:t>
      </w:r>
      <w:r>
        <w:rPr>
          <w:lang w:val="pt-BR"/>
        </w:rPr>
        <w:t xml:space="preserve">O + 9 </w:t>
      </w:r>
      <w:bookmarkStart w:id="2" w:name="_Hlk72404777"/>
      <w:r>
        <w:rPr>
          <w:lang w:val="pt-BR"/>
        </w:rPr>
        <w:t>C</w:t>
      </w:r>
      <w:r>
        <w:rPr>
          <w:vertAlign w:val="subscript"/>
          <w:lang w:val="pt-BR"/>
        </w:rPr>
        <w:t>6</w:t>
      </w:r>
      <w:r>
        <w:rPr>
          <w:lang w:val="pt-BR"/>
        </w:rPr>
        <w:t>H</w:t>
      </w:r>
      <w:r>
        <w:rPr>
          <w:vertAlign w:val="subscript"/>
          <w:lang w:val="pt-BR"/>
        </w:rPr>
        <w:t>14</w:t>
      </w:r>
      <w:r>
        <w:rPr>
          <w:lang w:val="pt-BR"/>
        </w:rPr>
        <w:t>N</w:t>
      </w:r>
      <w:r>
        <w:rPr>
          <w:vertAlign w:val="subscript"/>
          <w:lang w:val="pt-BR"/>
        </w:rPr>
        <w:t>2</w:t>
      </w:r>
      <w:r>
        <w:rPr>
          <w:lang w:val="pt-BR"/>
        </w:rPr>
        <w:t>O</w:t>
      </w:r>
      <w:r>
        <w:rPr>
          <w:vertAlign w:val="subscript"/>
          <w:lang w:val="pt-BR"/>
        </w:rPr>
        <w:t>2</w:t>
      </w:r>
      <w:bookmarkEnd w:id="2"/>
      <w:r>
        <w:rPr>
          <w:lang w:val="pt-BR"/>
        </w:rPr>
        <w:t xml:space="preserve">  → 17 Co</w:t>
      </w:r>
      <w:r>
        <w:rPr>
          <w:vertAlign w:val="subscript"/>
          <w:lang w:val="pt-BR"/>
        </w:rPr>
        <w:t>2</w:t>
      </w:r>
      <w:r>
        <w:rPr>
          <w:lang w:val="pt-BR"/>
        </w:rPr>
        <w:t>O</w:t>
      </w:r>
      <w:r>
        <w:rPr>
          <w:vertAlign w:val="subscript"/>
          <w:lang w:val="pt-BR"/>
        </w:rPr>
        <w:t>3</w:t>
      </w:r>
      <w:r>
        <w:rPr>
          <w:lang w:val="pt-BR"/>
        </w:rPr>
        <w:t xml:space="preserve"> + 54 CO</w:t>
      </w:r>
      <w:r>
        <w:rPr>
          <w:vertAlign w:val="subscript"/>
          <w:lang w:val="pt-BR"/>
        </w:rPr>
        <w:t xml:space="preserve">2 </w:t>
      </w:r>
      <w:r>
        <w:rPr>
          <w:lang w:val="pt-BR"/>
        </w:rPr>
        <w:t>+ 267 H</w:t>
      </w:r>
      <w:r>
        <w:rPr>
          <w:vertAlign w:val="subscript"/>
          <w:lang w:val="pt-BR"/>
        </w:rPr>
        <w:t>2</w:t>
      </w:r>
      <w:r>
        <w:rPr>
          <w:lang w:val="pt-BR"/>
        </w:rPr>
        <w:t>O+ 43 N</w:t>
      </w:r>
      <w:r>
        <w:rPr>
          <w:vertAlign w:val="subscript"/>
          <w:lang w:val="pt-BR"/>
        </w:rPr>
        <w:t>2</w:t>
      </w:r>
      <w:r>
        <w:rPr>
          <w:lang w:val="pt-BR"/>
        </w:rPr>
        <w:t xml:space="preserve">            </w:t>
      </w:r>
      <w:r>
        <w:rPr>
          <w:b/>
          <w:lang w:val="pt-BR"/>
        </w:rPr>
        <w:t>(3)</w:t>
      </w:r>
      <w:r>
        <w:rPr>
          <w:vertAlign w:val="subscript"/>
          <w:lang w:val="pt-BR"/>
        </w:rPr>
        <w:t xml:space="preserve"> </w:t>
      </w:r>
    </w:p>
    <w:p w14:paraId="31652CF9" w14:textId="77777777" w:rsidR="00E85559" w:rsidRDefault="00E85559" w:rsidP="00E85559">
      <w:pPr>
        <w:rPr>
          <w:iCs/>
          <w:lang w:val="en-GB"/>
        </w:rPr>
      </w:pPr>
      <w:r>
        <w:rPr>
          <w:iCs/>
          <w:lang w:val="en-GB"/>
        </w:rPr>
        <w:t>For syntheses using TRIS:</w:t>
      </w:r>
    </w:p>
    <w:p w14:paraId="117B1B6F" w14:textId="77777777" w:rsidR="00565E52" w:rsidRDefault="00E85559" w:rsidP="00E85559">
      <w:pPr>
        <w:rPr>
          <w:b/>
          <w:lang w:val="pt-BR"/>
        </w:rPr>
      </w:pPr>
      <w:r>
        <w:rPr>
          <w:lang w:val="pt-BR"/>
        </w:rPr>
        <w:t>14 Co( NO</w:t>
      </w:r>
      <w:r>
        <w:rPr>
          <w:vertAlign w:val="subscript"/>
          <w:lang w:val="pt-BR"/>
        </w:rPr>
        <w:t>3</w:t>
      </w:r>
      <w:r>
        <w:rPr>
          <w:lang w:val="pt-BR"/>
        </w:rPr>
        <w:t>)</w:t>
      </w:r>
      <w:r>
        <w:rPr>
          <w:vertAlign w:val="subscript"/>
          <w:lang w:val="pt-BR"/>
        </w:rPr>
        <w:t>2</w:t>
      </w:r>
      <w:r>
        <w:rPr>
          <w:lang w:val="pt-BR"/>
        </w:rPr>
        <w:t>.6H</w:t>
      </w:r>
      <w:r>
        <w:rPr>
          <w:vertAlign w:val="subscript"/>
          <w:lang w:val="pt-BR"/>
        </w:rPr>
        <w:t>2</w:t>
      </w:r>
      <w:r>
        <w:rPr>
          <w:lang w:val="pt-BR"/>
        </w:rPr>
        <w:t xml:space="preserve">O + 6 </w:t>
      </w:r>
      <w:bookmarkStart w:id="3" w:name="_Hlk72404816"/>
      <w:r>
        <w:rPr>
          <w:lang w:val="pt-BR"/>
        </w:rPr>
        <w:t>NH</w:t>
      </w:r>
      <w:r>
        <w:rPr>
          <w:vertAlign w:val="subscript"/>
          <w:lang w:val="pt-BR"/>
        </w:rPr>
        <w:t>2</w:t>
      </w:r>
      <w:r>
        <w:rPr>
          <w:lang w:val="pt-BR"/>
        </w:rPr>
        <w:t>C(CH</w:t>
      </w:r>
      <w:r>
        <w:rPr>
          <w:vertAlign w:val="subscript"/>
          <w:lang w:val="pt-BR"/>
        </w:rPr>
        <w:t>2</w:t>
      </w:r>
      <w:r>
        <w:rPr>
          <w:lang w:val="pt-BR"/>
        </w:rPr>
        <w:t>OH)</w:t>
      </w:r>
      <w:r>
        <w:rPr>
          <w:vertAlign w:val="subscript"/>
          <w:lang w:val="pt-BR"/>
        </w:rPr>
        <w:t>3</w:t>
      </w:r>
      <w:r>
        <w:rPr>
          <w:lang w:val="pt-BR"/>
        </w:rPr>
        <w:t xml:space="preserve"> </w:t>
      </w:r>
      <w:bookmarkEnd w:id="3"/>
      <w:r>
        <w:rPr>
          <w:lang w:val="pt-BR"/>
        </w:rPr>
        <w:t>→ 7 Co</w:t>
      </w:r>
      <w:r>
        <w:rPr>
          <w:vertAlign w:val="subscript"/>
          <w:lang w:val="pt-BR"/>
        </w:rPr>
        <w:t>2</w:t>
      </w:r>
      <w:r>
        <w:rPr>
          <w:lang w:val="pt-BR"/>
        </w:rPr>
        <w:t>O</w:t>
      </w:r>
      <w:r>
        <w:rPr>
          <w:vertAlign w:val="subscript"/>
          <w:lang w:val="pt-BR"/>
        </w:rPr>
        <w:t>3</w:t>
      </w:r>
      <w:r>
        <w:rPr>
          <w:lang w:val="pt-BR"/>
        </w:rPr>
        <w:t>+ 24 CO</w:t>
      </w:r>
      <w:r>
        <w:rPr>
          <w:vertAlign w:val="subscript"/>
          <w:lang w:val="pt-BR"/>
        </w:rPr>
        <w:t>2</w:t>
      </w:r>
      <w:r>
        <w:rPr>
          <w:lang w:val="pt-BR"/>
        </w:rPr>
        <w:t>+ 117 H</w:t>
      </w:r>
      <w:r>
        <w:rPr>
          <w:vertAlign w:val="subscript"/>
          <w:lang w:val="pt-BR"/>
        </w:rPr>
        <w:t>2</w:t>
      </w:r>
      <w:r>
        <w:rPr>
          <w:lang w:val="pt-BR"/>
        </w:rPr>
        <w:t>O +17 N</w:t>
      </w:r>
      <w:r>
        <w:rPr>
          <w:vertAlign w:val="subscript"/>
          <w:lang w:val="pt-BR"/>
        </w:rPr>
        <w:t xml:space="preserve">2  </w:t>
      </w:r>
      <w:r>
        <w:rPr>
          <w:lang w:val="pt-BR"/>
        </w:rPr>
        <w:t xml:space="preserve">       </w:t>
      </w:r>
      <w:r>
        <w:rPr>
          <w:b/>
          <w:lang w:val="pt-BR"/>
        </w:rPr>
        <w:t>(4)</w:t>
      </w:r>
    </w:p>
    <w:p w14:paraId="3AD83609" w14:textId="77777777" w:rsidR="00E85559" w:rsidRDefault="00551F33" w:rsidP="00551F33">
      <w:pPr>
        <w:jc w:val="center"/>
        <w:rPr>
          <w:b/>
          <w:bCs/>
          <w:sz w:val="22"/>
          <w:lang w:val="en-GB"/>
        </w:rPr>
      </w:pPr>
      <w:r>
        <w:rPr>
          <w:b/>
          <w:bCs/>
          <w:noProof/>
          <w:sz w:val="22"/>
          <w:lang w:val="es-ES" w:eastAsia="es-ES"/>
        </w:rPr>
        <w:drawing>
          <wp:inline distT="0" distB="0" distL="0" distR="0" wp14:anchorId="0EEFBE0E" wp14:editId="1E5ADF87">
            <wp:extent cx="5573864" cy="2258171"/>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82994" cy="2261870"/>
                    </a:xfrm>
                    <a:prstGeom prst="rect">
                      <a:avLst/>
                    </a:prstGeom>
                    <a:noFill/>
                  </pic:spPr>
                </pic:pic>
              </a:graphicData>
            </a:graphic>
          </wp:inline>
        </w:drawing>
      </w:r>
    </w:p>
    <w:p w14:paraId="139DC067" w14:textId="77777777" w:rsidR="00551F33" w:rsidRPr="00551F33" w:rsidRDefault="00551F33" w:rsidP="00551F33">
      <w:pPr>
        <w:pStyle w:val="k-CaptionFigure"/>
        <w:rPr>
          <w:b w:val="0"/>
        </w:rPr>
      </w:pPr>
      <w:r>
        <w:t xml:space="preserve">Figure 1 </w:t>
      </w:r>
      <w:r w:rsidRPr="00551F33">
        <w:rPr>
          <w:b w:val="0"/>
        </w:rPr>
        <w:t>Digital photographs of the syntheses</w:t>
      </w:r>
    </w:p>
    <w:p w14:paraId="25EAEDAF" w14:textId="77777777" w:rsidR="00551F33" w:rsidRDefault="00551F33" w:rsidP="00551F33">
      <w:pPr>
        <w:pStyle w:val="Ttulo2"/>
        <w:rPr>
          <w:lang w:val="en-GB"/>
        </w:rPr>
      </w:pPr>
      <w:r>
        <w:rPr>
          <w:lang w:val="en-GB"/>
        </w:rPr>
        <w:t xml:space="preserve">Pigment characterization </w:t>
      </w:r>
    </w:p>
    <w:p w14:paraId="40AD2A3E" w14:textId="79F02DAB" w:rsidR="00551F33" w:rsidRDefault="00551F33" w:rsidP="00551F33">
      <w:pPr>
        <w:rPr>
          <w:lang w:val="en-GB"/>
        </w:rPr>
      </w:pPr>
      <w:r>
        <w:rPr>
          <w:lang w:val="en-GB"/>
        </w:rPr>
        <w:t>The powders obtained were characterized by XRD, using a Philips equipment model PW-1714 with a built-in scanning graphical recorder, Cu K</w:t>
      </w:r>
      <w:r>
        <w:t>α</w:t>
      </w:r>
      <w:r>
        <w:rPr>
          <w:lang w:val="en-GB"/>
        </w:rPr>
        <w:t xml:space="preserve"> radiation (</w:t>
      </w:r>
      <w:r>
        <w:t>λ</w:t>
      </w:r>
      <w:r>
        <w:rPr>
          <w:lang w:val="en-GB"/>
        </w:rPr>
        <w:t xml:space="preserve"> = 1.5417 Å), nickel filter, 30 mA and 40 kV in the high voltage source, with a step of 0.02º, between 30° and 70°. For each fuel are working at varying sweep. In addition, the crystallite size was determined from the diffraction patterns obtained with a Rigaku equipment model D-MAX IIIC, Cu K</w:t>
      </w:r>
      <w:r>
        <w:t>α</w:t>
      </w:r>
      <w:r>
        <w:rPr>
          <w:lang w:val="en-GB"/>
        </w:rPr>
        <w:t xml:space="preserve"> radiation (</w:t>
      </w:r>
      <w:r>
        <w:t>λ</w:t>
      </w:r>
      <w:r>
        <w:rPr>
          <w:lang w:val="en-GB"/>
        </w:rPr>
        <w:t xml:space="preserve"> = 1.5417 Å), nickel filter, 30 mA and 35 kV at the source of high voltage with a step of 0.02º, between 35 and 40º, at a scanning speed of 0.1º/min, </w:t>
      </w:r>
      <w:r w:rsidR="00EA3B5F">
        <w:rPr>
          <w:lang w:val="en-GB"/>
        </w:rPr>
        <w:t>analysing</w:t>
      </w:r>
      <w:r>
        <w:rPr>
          <w:lang w:val="en-GB"/>
        </w:rPr>
        <w:t xml:space="preserve"> the peak [311] located at a value of 2</w:t>
      </w:r>
      <w:r>
        <w:rPr>
          <w:rFonts w:ascii="Symbol" w:hAnsi="Symbol"/>
        </w:rPr>
        <w:t></w:t>
      </w:r>
      <w:r>
        <w:rPr>
          <w:lang w:val="en-GB"/>
        </w:rPr>
        <w:t xml:space="preserve"> = 36.9º approx., and it was calculated using Scherer's </w:t>
      </w:r>
      <w:r w:rsidRPr="00FB76BC">
        <w:rPr>
          <w:lang w:val="en-GB"/>
        </w:rPr>
        <w:t>formula [23].</w:t>
      </w:r>
      <w:r>
        <w:rPr>
          <w:lang w:val="en-GB"/>
        </w:rPr>
        <w:t xml:space="preserve"> </w:t>
      </w:r>
      <w:r w:rsidRPr="00FB76BC">
        <w:rPr>
          <w:lang w:val="en-GB"/>
        </w:rPr>
        <w:t>The</w:t>
      </w:r>
      <w:r>
        <w:rPr>
          <w:lang w:val="en-GB"/>
        </w:rPr>
        <w:t xml:space="preserve"> shape and size of the particles were observed through the Transmission Electron Microscopy (TEM) technique was used with a JEOL Electron Microscope, model 100 CX II using a voltage of 100 kV. On the grid sample holder, a film of cellulose acetate/butyrate dissolved in ethyl acetate was placed, and </w:t>
      </w:r>
      <w:r w:rsidR="00EA3B5F">
        <w:rPr>
          <w:lang w:val="en-GB"/>
        </w:rPr>
        <w:t>glycerine</w:t>
      </w:r>
      <w:r>
        <w:rPr>
          <w:lang w:val="en-GB"/>
        </w:rPr>
        <w:t xml:space="preserve"> drops were placed to form holes. Finally, a carbon film was placed to increase the resistance.</w:t>
      </w:r>
    </w:p>
    <w:p w14:paraId="4E3A53EE" w14:textId="77777777" w:rsidR="00551F33" w:rsidRDefault="00551F33" w:rsidP="00551F33">
      <w:pPr>
        <w:rPr>
          <w:lang w:val="en-GB"/>
        </w:rPr>
      </w:pPr>
      <w:r>
        <w:rPr>
          <w:lang w:val="en-GB"/>
        </w:rPr>
        <w:t xml:space="preserve">The morphology of the powders was observed through a Scanning Electron Microscopy (SEM) with a JEOL, model 6610 LV microscope. </w:t>
      </w:r>
    </w:p>
    <w:p w14:paraId="2EB2AF46" w14:textId="77777777" w:rsidR="00551F33" w:rsidRDefault="00551F33" w:rsidP="00551F33">
      <w:pPr>
        <w:rPr>
          <w:lang w:val="en-GB"/>
        </w:rPr>
      </w:pPr>
      <w:r>
        <w:rPr>
          <w:lang w:val="en-GB"/>
        </w:rPr>
        <w:t>Bruker IFS 66 equipment, pellets with BrK, and a measuring range of 400-1500 cm</w:t>
      </w:r>
      <w:r>
        <w:rPr>
          <w:vertAlign w:val="superscript"/>
          <w:lang w:val="en-GB"/>
        </w:rPr>
        <w:t>-1</w:t>
      </w:r>
      <w:r>
        <w:rPr>
          <w:lang w:val="en-GB"/>
        </w:rPr>
        <w:t xml:space="preserve"> were used to obtain the FT-IR spectra of the solid samples.</w:t>
      </w:r>
    </w:p>
    <w:p w14:paraId="17FAD3CB" w14:textId="77777777" w:rsidR="00551F33" w:rsidRDefault="00551F33" w:rsidP="00551F33">
      <w:pPr>
        <w:rPr>
          <w:lang w:val="en-GB"/>
        </w:rPr>
      </w:pPr>
      <w:r>
        <w:rPr>
          <w:lang w:val="en-GB"/>
        </w:rPr>
        <w:t xml:space="preserve">The measurements of the optical transmission and reflection characteristics of the specimens in the spectral range of solar radiation (0.3 µm &lt;µ &lt;3 µm) were carried out with a SHIMADZU model UV-3101PC double beam spectrophotometer. With integrating sphere model ISR 3100, using normal/hemispherical geometry, with specular component included. The measurements were made by placing the pigments in a quartz cuvette and not directly, because the powders could not be compacted sufficiently to prevent them from detaching and contaminating the integrating sphere. In Figure 2 the samples contained in the quartz cuvettes are observed, as they were measured in the </w:t>
      </w:r>
      <w:r>
        <w:rPr>
          <w:lang w:val="en-GB"/>
        </w:rPr>
        <w:lastRenderedPageBreak/>
        <w:t>spectrophotometer. The absorption measurements in the solar spectrum on the powders were carried out in order to have a reference of this property before manufacturing the paints and to detect if the fuel used in the synthesis has any kind of influence on the absorption values obtained. From the values of the spectral characteristics, the following integral characteristics were calculated:</w:t>
      </w:r>
    </w:p>
    <w:p w14:paraId="0C9BD18A" w14:textId="77777777" w:rsidR="00551F33" w:rsidRPr="00551F33" w:rsidRDefault="00551F33" w:rsidP="00551F33">
      <w:pPr>
        <w:rPr>
          <w:i/>
          <w:lang w:val="en-GB"/>
        </w:rPr>
      </w:pPr>
      <w:r>
        <w:rPr>
          <w:i/>
          <w:lang w:val="en-GB"/>
        </w:rPr>
        <w:t>Solar transmittance (</w:t>
      </w:r>
      <w:r>
        <w:rPr>
          <w:rFonts w:ascii="Symbol" w:hAnsi="Symbol"/>
          <w:i/>
        </w:rPr>
        <w:t></w:t>
      </w:r>
      <w:r>
        <w:rPr>
          <w:i/>
          <w:vertAlign w:val="subscript"/>
          <w:lang w:val="en-GB"/>
        </w:rPr>
        <w:t>S</w:t>
      </w:r>
      <w:r>
        <w:rPr>
          <w:i/>
          <w:lang w:val="en-GB"/>
        </w:rPr>
        <w:t>)</w:t>
      </w:r>
    </w:p>
    <w:p w14:paraId="50C256DA" w14:textId="77777777" w:rsidR="00551F33" w:rsidRDefault="00551F33" w:rsidP="00551F33">
      <w:pPr>
        <w:rPr>
          <w:lang w:val="en-GB"/>
        </w:rPr>
      </w:pPr>
      <w:r>
        <w:rPr>
          <w:lang w:val="en-GB"/>
        </w:rPr>
        <w:t xml:space="preserve">                                    </w:t>
      </w:r>
      <w:r>
        <w:rPr>
          <w:position w:val="-60"/>
        </w:rPr>
        <w:object w:dxaOrig="2040" w:dyaOrig="1320" w14:anchorId="1F3DF9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1" o:title=""/>
          </v:shape>
          <o:OLEObject Type="Embed" ProgID="Equation.3" ShapeID="_x0000_i1025" DrawAspect="Content" ObjectID="_1772351841" r:id="rId12"/>
        </w:object>
      </w:r>
      <w:r>
        <w:rPr>
          <w:lang w:val="en-GB"/>
        </w:rPr>
        <w:t xml:space="preserve">           </w:t>
      </w:r>
    </w:p>
    <w:p w14:paraId="4A8ABA1E" w14:textId="77777777" w:rsidR="00551F33" w:rsidRDefault="00551F33" w:rsidP="00551F33">
      <w:pPr>
        <w:rPr>
          <w:lang w:val="en-GB"/>
        </w:rPr>
      </w:pPr>
      <w:r>
        <w:rPr>
          <w:lang w:val="en-GB"/>
        </w:rPr>
        <w:t>Where</w:t>
      </w:r>
      <w:r>
        <w:rPr>
          <w:rFonts w:ascii="Symbol" w:hAnsi="Symbol"/>
        </w:rPr>
        <w:t></w:t>
      </w:r>
      <w:r>
        <w:rPr>
          <w:vertAlign w:val="subscript"/>
        </w:rPr>
        <w:sym w:font="Symbol" w:char="F06C"/>
      </w:r>
      <w:r>
        <w:rPr>
          <w:lang w:val="en-GB"/>
        </w:rPr>
        <w:t xml:space="preserve"> is the spectral transmittance of the sample between 300 nm and 2500 nm; S</w:t>
      </w:r>
      <w:r>
        <w:rPr>
          <w:vertAlign w:val="subscript"/>
        </w:rPr>
        <w:sym w:font="Symbol" w:char="F06C"/>
      </w:r>
      <w:r>
        <w:rPr>
          <w:lang w:val="en-GB"/>
        </w:rPr>
        <w:t xml:space="preserve"> is the normalized relative spectral distribution of global solar radiation for air mass = 1.5 (this value is specified by ISO 9845-1: 1992 (en) Solar energy - Reference solar spectral irradiance at the ground at different receiving conditions - Part 1: Direct normal and hemispherical solar irradiance for air mass 1.</w:t>
      </w:r>
      <w:r w:rsidRPr="00FA7909">
        <w:rPr>
          <w:lang w:val="en-GB"/>
        </w:rPr>
        <w:t>5</w:t>
      </w:r>
      <w:r>
        <w:rPr>
          <w:lang w:val="en-GB"/>
        </w:rPr>
        <w:t>)</w:t>
      </w:r>
      <w:r w:rsidRPr="00FA7909">
        <w:rPr>
          <w:lang w:val="en-GB"/>
        </w:rPr>
        <w:t xml:space="preserve"> [24]</w:t>
      </w:r>
      <w:r>
        <w:rPr>
          <w:lang w:val="en-GB"/>
        </w:rPr>
        <w:t xml:space="preserve"> and </w:t>
      </w:r>
      <w:r>
        <w:rPr>
          <w:rFonts w:ascii="Symbol" w:hAnsi="Symbol"/>
        </w:rPr>
        <w:t></w:t>
      </w:r>
      <w:r>
        <w:rPr>
          <w:rFonts w:ascii="Symbol" w:hAnsi="Symbol"/>
        </w:rPr>
        <w:t></w:t>
      </w:r>
      <w:r>
        <w:rPr>
          <w:rFonts w:ascii="Symbol" w:hAnsi="Symbol"/>
        </w:rPr>
        <w:t></w:t>
      </w:r>
      <w:r>
        <w:rPr>
          <w:lang w:val="en-GB"/>
        </w:rPr>
        <w:t xml:space="preserve"> is the interval between wavelengths.</w:t>
      </w:r>
    </w:p>
    <w:p w14:paraId="4712F155" w14:textId="77777777" w:rsidR="00551F33" w:rsidRPr="00551F33" w:rsidRDefault="00551F33" w:rsidP="00551F33">
      <w:pPr>
        <w:rPr>
          <w:i/>
          <w:lang w:val="en-GB"/>
        </w:rPr>
      </w:pPr>
      <w:r>
        <w:rPr>
          <w:i/>
          <w:lang w:val="en-GB"/>
        </w:rPr>
        <w:t>Solar reflectance (</w:t>
      </w:r>
      <w:r>
        <w:rPr>
          <w:rFonts w:ascii="Symbol" w:hAnsi="Symbol"/>
          <w:i/>
        </w:rPr>
        <w:t></w:t>
      </w:r>
      <w:r>
        <w:rPr>
          <w:i/>
          <w:vertAlign w:val="subscript"/>
          <w:lang w:val="en-GB"/>
        </w:rPr>
        <w:t>S</w:t>
      </w:r>
      <w:r>
        <w:rPr>
          <w:i/>
          <w:lang w:val="en-GB"/>
        </w:rPr>
        <w:t>):</w:t>
      </w:r>
    </w:p>
    <w:p w14:paraId="3CC11AF4" w14:textId="77777777" w:rsidR="00551F33" w:rsidRDefault="00551F33" w:rsidP="00551F33">
      <w:pPr>
        <w:rPr>
          <w:lang w:val="en-GB"/>
        </w:rPr>
      </w:pPr>
      <w:r>
        <w:rPr>
          <w:lang w:val="en-GB"/>
        </w:rPr>
        <w:t xml:space="preserve">                                             </w:t>
      </w:r>
      <w:r>
        <w:rPr>
          <w:position w:val="-60"/>
        </w:rPr>
        <w:object w:dxaOrig="2115" w:dyaOrig="1320" w14:anchorId="279DBF06">
          <v:shape id="_x0000_i1026" type="#_x0000_t75" style="width:105.75pt;height:66pt" o:ole="">
            <v:imagedata r:id="rId13" o:title=""/>
          </v:shape>
          <o:OLEObject Type="Embed" ProgID="Equation.3" ShapeID="_x0000_i1026" DrawAspect="Content" ObjectID="_1772351842" r:id="rId14"/>
        </w:object>
      </w:r>
      <w:r>
        <w:rPr>
          <w:lang w:val="en-GB"/>
        </w:rPr>
        <w:t xml:space="preserve">                                                                              </w:t>
      </w:r>
    </w:p>
    <w:p w14:paraId="5733CAA5" w14:textId="77777777" w:rsidR="00551F33" w:rsidRDefault="00551F33" w:rsidP="00551F33">
      <w:pPr>
        <w:rPr>
          <w:lang w:val="en-GB"/>
        </w:rPr>
      </w:pPr>
      <w:r>
        <w:rPr>
          <w:lang w:val="en-GB"/>
        </w:rPr>
        <w:t xml:space="preserve">Where </w:t>
      </w:r>
      <w:r>
        <w:rPr>
          <w:rFonts w:ascii="Symbol" w:hAnsi="Symbol"/>
        </w:rPr>
        <w:t></w:t>
      </w:r>
      <w:r>
        <w:rPr>
          <w:vertAlign w:val="subscript"/>
        </w:rPr>
        <w:sym w:font="Symbol" w:char="F06C"/>
      </w:r>
      <w:r>
        <w:rPr>
          <w:lang w:val="en-GB"/>
        </w:rPr>
        <w:t xml:space="preserve"> is the spectral reflectance of the specimen between 300 nm and 2500 nm; the solar absorbance (</w:t>
      </w:r>
      <w:r>
        <w:rPr>
          <w:rFonts w:ascii="Symbol" w:hAnsi="Symbol"/>
        </w:rPr>
        <w:t></w:t>
      </w:r>
      <w:r>
        <w:rPr>
          <w:vertAlign w:val="subscript"/>
          <w:lang w:val="en-GB"/>
        </w:rPr>
        <w:t>S</w:t>
      </w:r>
      <w:r>
        <w:rPr>
          <w:lang w:val="en-GB"/>
        </w:rPr>
        <w:t>) results from the following formula:</w:t>
      </w:r>
    </w:p>
    <w:p w14:paraId="78F20B22" w14:textId="77777777" w:rsidR="00551F33" w:rsidRDefault="00551F33" w:rsidP="00551F33">
      <w:pPr>
        <w:rPr>
          <w:lang w:val="en-GB"/>
        </w:rPr>
      </w:pPr>
      <w:r>
        <w:rPr>
          <w:lang w:val="en-GB"/>
        </w:rPr>
        <w:t xml:space="preserve">                                                            </w:t>
      </w:r>
      <w:r>
        <w:rPr>
          <w:position w:val="-12"/>
        </w:rPr>
        <w:object w:dxaOrig="1560" w:dyaOrig="360" w14:anchorId="69B60B7D">
          <v:shape id="_x0000_i1027" type="#_x0000_t75" style="width:78pt;height:18pt" o:ole="">
            <v:imagedata r:id="rId15" o:title=""/>
          </v:shape>
          <o:OLEObject Type="Embed" ProgID="Equation.3" ShapeID="_x0000_i1027" DrawAspect="Content" ObjectID="_1772351843" r:id="rId16"/>
        </w:object>
      </w:r>
      <w:r>
        <w:rPr>
          <w:lang w:val="en-GB"/>
        </w:rPr>
        <w:t xml:space="preserve">                          </w:t>
      </w:r>
    </w:p>
    <w:p w14:paraId="78A20678" w14:textId="77777777" w:rsidR="00551F33" w:rsidRDefault="00551F33" w:rsidP="00551F33">
      <w:pPr>
        <w:jc w:val="center"/>
        <w:rPr>
          <w:b/>
          <w:bCs/>
          <w:sz w:val="22"/>
          <w:lang w:val="en-GB"/>
        </w:rPr>
      </w:pPr>
      <w:r>
        <w:rPr>
          <w:b/>
          <w:bCs/>
          <w:noProof/>
          <w:sz w:val="22"/>
          <w:lang w:val="es-ES" w:eastAsia="es-ES"/>
        </w:rPr>
        <w:drawing>
          <wp:inline distT="0" distB="0" distL="0" distR="0" wp14:anchorId="07E3B11A" wp14:editId="450DDB22">
            <wp:extent cx="4328795" cy="16275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8795" cy="1627505"/>
                    </a:xfrm>
                    <a:prstGeom prst="rect">
                      <a:avLst/>
                    </a:prstGeom>
                    <a:noFill/>
                  </pic:spPr>
                </pic:pic>
              </a:graphicData>
            </a:graphic>
          </wp:inline>
        </w:drawing>
      </w:r>
    </w:p>
    <w:p w14:paraId="7ADF11D1" w14:textId="77777777" w:rsidR="00551F33" w:rsidRPr="00551F33" w:rsidRDefault="00551F33" w:rsidP="00551F33">
      <w:pPr>
        <w:pStyle w:val="k-CaptionFigure"/>
        <w:rPr>
          <w:b w:val="0"/>
        </w:rPr>
      </w:pPr>
      <w:r>
        <w:t xml:space="preserve">Figure 2 </w:t>
      </w:r>
      <w:r w:rsidRPr="00551F33">
        <w:rPr>
          <w:b w:val="0"/>
        </w:rPr>
        <w:t>Co</w:t>
      </w:r>
      <w:r w:rsidRPr="00551F33">
        <w:rPr>
          <w:b w:val="0"/>
          <w:vertAlign w:val="subscript"/>
        </w:rPr>
        <w:t>3</w:t>
      </w:r>
      <w:r w:rsidRPr="00551F33">
        <w:rPr>
          <w:b w:val="0"/>
        </w:rPr>
        <w:t>O</w:t>
      </w:r>
      <w:r w:rsidRPr="00551F33">
        <w:rPr>
          <w:b w:val="0"/>
          <w:vertAlign w:val="subscript"/>
        </w:rPr>
        <w:t>4</w:t>
      </w:r>
      <w:r w:rsidRPr="00551F33">
        <w:rPr>
          <w:b w:val="0"/>
        </w:rPr>
        <w:t xml:space="preserve"> samples inside a quartz box prepared to measure its optical properties. On the left, Co</w:t>
      </w:r>
      <w:r w:rsidRPr="00551F33">
        <w:rPr>
          <w:b w:val="0"/>
          <w:vertAlign w:val="subscript"/>
        </w:rPr>
        <w:t>3</w:t>
      </w:r>
      <w:r w:rsidRPr="00551F33">
        <w:rPr>
          <w:b w:val="0"/>
        </w:rPr>
        <w:t>O</w:t>
      </w:r>
      <w:r w:rsidRPr="00551F33">
        <w:rPr>
          <w:b w:val="0"/>
          <w:vertAlign w:val="subscript"/>
        </w:rPr>
        <w:t>4</w:t>
      </w:r>
      <w:r w:rsidRPr="00551F33">
        <w:rPr>
          <w:b w:val="0"/>
        </w:rPr>
        <w:t>-LIS and on the right Co</w:t>
      </w:r>
      <w:r w:rsidRPr="00551F33">
        <w:rPr>
          <w:b w:val="0"/>
          <w:vertAlign w:val="subscript"/>
        </w:rPr>
        <w:t>3</w:t>
      </w:r>
      <w:r w:rsidRPr="00551F33">
        <w:rPr>
          <w:b w:val="0"/>
        </w:rPr>
        <w:t>O</w:t>
      </w:r>
      <w:r w:rsidRPr="00551F33">
        <w:rPr>
          <w:b w:val="0"/>
          <w:vertAlign w:val="subscript"/>
        </w:rPr>
        <w:t>4</w:t>
      </w:r>
      <w:r w:rsidRPr="00551F33">
        <w:rPr>
          <w:b w:val="0"/>
        </w:rPr>
        <w:t>-ASP</w:t>
      </w:r>
    </w:p>
    <w:p w14:paraId="5ABB723D" w14:textId="77777777" w:rsidR="00551F33" w:rsidRDefault="00551F33" w:rsidP="00551F33">
      <w:pPr>
        <w:pStyle w:val="Ttulo2"/>
        <w:rPr>
          <w:lang w:val="en-GB"/>
        </w:rPr>
      </w:pPr>
      <w:r>
        <w:rPr>
          <w:lang w:val="en-GB"/>
        </w:rPr>
        <w:t>Synthesis of paintings</w:t>
      </w:r>
    </w:p>
    <w:p w14:paraId="641A7CFA" w14:textId="00427393" w:rsidR="00551F33" w:rsidRDefault="00551F33" w:rsidP="00551F33">
      <w:pPr>
        <w:rPr>
          <w:lang w:val="en-GB"/>
        </w:rPr>
      </w:pPr>
      <w:r>
        <w:rPr>
          <w:lang w:val="en-GB"/>
        </w:rPr>
        <w:t>The paint based on alkyd resin to be studied was made from pigments obtained with aspartic (Co</w:t>
      </w:r>
      <w:r w:rsidRPr="00FA7909">
        <w:rPr>
          <w:vertAlign w:val="subscript"/>
          <w:lang w:val="en-GB"/>
        </w:rPr>
        <w:t>3</w:t>
      </w:r>
      <w:r>
        <w:rPr>
          <w:lang w:val="en-GB"/>
        </w:rPr>
        <w:t>O</w:t>
      </w:r>
      <w:r w:rsidRPr="00FA7909">
        <w:rPr>
          <w:vertAlign w:val="subscript"/>
          <w:lang w:val="en-GB"/>
        </w:rPr>
        <w:t>4</w:t>
      </w:r>
      <w:r>
        <w:rPr>
          <w:lang w:val="en-GB"/>
        </w:rPr>
        <w:t xml:space="preserve">-Asp), explanation in results. Solid ingredients were mixed in a ball mill and then solvents were added. In order to make a comparison of the thermal emittance of the paint, two different formulations were prepared and these coating are named "absorbent paint coating": one that included 1% by weight of </w:t>
      </w:r>
      <w:r w:rsidR="00EA3B5F">
        <w:rPr>
          <w:lang w:val="en-GB"/>
        </w:rPr>
        <w:t>aluminium</w:t>
      </w:r>
      <w:r>
        <w:rPr>
          <w:lang w:val="en-GB"/>
        </w:rPr>
        <w:t xml:space="preserve"> in metallic powder (Paint-Al) and another, with 1% of copper in metallic powder (Paint-Cu), respectively. Galvanized steel plates measuring 30 x 15 cm were painted, with both paints, with a brush. Previously, the plates were subjected to a treatment with phosphoric acid so that the surface achieves porosity and the paint a better adhesion. </w:t>
      </w:r>
      <w:r w:rsidRPr="00740B91">
        <w:rPr>
          <w:lang w:val="en-GB"/>
        </w:rPr>
        <w:t>In Figure 3 there are digital photographs of the surfaces painted with the paints obtained.</w:t>
      </w:r>
    </w:p>
    <w:p w14:paraId="67397575" w14:textId="77777777" w:rsidR="00551F33" w:rsidRDefault="00551F33" w:rsidP="00551F33">
      <w:pPr>
        <w:jc w:val="center"/>
        <w:rPr>
          <w:b/>
          <w:bCs/>
          <w:sz w:val="22"/>
          <w:lang w:val="en-GB"/>
        </w:rPr>
      </w:pPr>
      <w:r>
        <w:rPr>
          <w:b/>
          <w:bCs/>
          <w:noProof/>
          <w:sz w:val="22"/>
          <w:lang w:val="es-ES" w:eastAsia="es-ES"/>
        </w:rPr>
        <w:lastRenderedPageBreak/>
        <w:drawing>
          <wp:inline distT="0" distB="0" distL="0" distR="0" wp14:anchorId="3F9C7308" wp14:editId="6FF5BEEA">
            <wp:extent cx="4043524" cy="273291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52678" cy="2739103"/>
                    </a:xfrm>
                    <a:prstGeom prst="rect">
                      <a:avLst/>
                    </a:prstGeom>
                    <a:noFill/>
                  </pic:spPr>
                </pic:pic>
              </a:graphicData>
            </a:graphic>
          </wp:inline>
        </w:drawing>
      </w:r>
    </w:p>
    <w:p w14:paraId="225C0643" w14:textId="77777777" w:rsidR="00551F33" w:rsidRDefault="00551F33" w:rsidP="00551F33">
      <w:pPr>
        <w:pStyle w:val="k-CaptionFigure"/>
        <w:rPr>
          <w:b w:val="0"/>
        </w:rPr>
      </w:pPr>
      <w:r w:rsidRPr="00980FEF">
        <w:t xml:space="preserve">Figure 3 </w:t>
      </w:r>
      <w:r w:rsidRPr="00551F33">
        <w:rPr>
          <w:b w:val="0"/>
        </w:rPr>
        <w:t>Digital photographs of the surfaces p</w:t>
      </w:r>
      <w:r>
        <w:rPr>
          <w:b w:val="0"/>
        </w:rPr>
        <w:t>ainted with the paints obtained</w:t>
      </w:r>
    </w:p>
    <w:p w14:paraId="3F68FC60" w14:textId="77777777" w:rsidR="00551F33" w:rsidRDefault="00551F33" w:rsidP="00551F33">
      <w:pPr>
        <w:pStyle w:val="Ttulo2"/>
        <w:rPr>
          <w:lang w:val="pt-BR"/>
        </w:rPr>
      </w:pPr>
      <w:r>
        <w:rPr>
          <w:lang w:val="pt-BR"/>
        </w:rPr>
        <w:t>Characterization of the paintings</w:t>
      </w:r>
    </w:p>
    <w:p w14:paraId="39A6C604" w14:textId="77777777" w:rsidR="00551F33" w:rsidRDefault="00551F33" w:rsidP="00551F33">
      <w:pPr>
        <w:rPr>
          <w:lang w:val="en-GB"/>
        </w:rPr>
      </w:pPr>
      <w:r>
        <w:rPr>
          <w:lang w:val="en-GB"/>
        </w:rPr>
        <w:t>The solar absorbance was determined from the reflectance measurements of the test tubes in the spectral range of solar radiation, they were carried out with the same spectrometer and sphere used for the pigments. From the spectral reflectance values, the solar absorbance was calculated.</w:t>
      </w:r>
    </w:p>
    <w:p w14:paraId="4E076ACF" w14:textId="77777777" w:rsidR="00551F33" w:rsidRPr="00551F33" w:rsidRDefault="00551F33" w:rsidP="00551F33">
      <w:pPr>
        <w:rPr>
          <w:lang w:val="en-GB"/>
        </w:rPr>
      </w:pPr>
      <w:r>
        <w:rPr>
          <w:lang w:val="en-GB"/>
        </w:rPr>
        <w:t xml:space="preserve">The dry paint thickness was determined using Elcometer brand equipment, model 456B, FNF meter whose operating principle is by magnetic induction. 10 different points were measured on each sample and the reverse of the plate was taken as "zero". Average of measurements is reported in </w:t>
      </w:r>
      <w:r w:rsidRPr="00740B91">
        <w:rPr>
          <w:lang w:val="en-GB"/>
        </w:rPr>
        <w:t>Table 3</w:t>
      </w:r>
      <w:r>
        <w:rPr>
          <w:lang w:val="en-GB"/>
        </w:rPr>
        <w:t>.</w:t>
      </w:r>
    </w:p>
    <w:p w14:paraId="0D995B7F" w14:textId="77777777" w:rsidR="008A59B2" w:rsidRPr="001C5679" w:rsidRDefault="008A59B2" w:rsidP="00DC5306">
      <w:pPr>
        <w:pStyle w:val="Ttulo1"/>
      </w:pPr>
      <w:r w:rsidRPr="001C5679">
        <w:t>Results</w:t>
      </w:r>
      <w:r w:rsidR="00D216E8" w:rsidRPr="001C5679">
        <w:t xml:space="preserve"> and discussion</w:t>
      </w:r>
    </w:p>
    <w:p w14:paraId="4F57D7E0" w14:textId="77777777" w:rsidR="00551F33" w:rsidRPr="00980FEF" w:rsidRDefault="00551F33" w:rsidP="00551F33">
      <w:pPr>
        <w:rPr>
          <w:rFonts w:eastAsia="Calibri"/>
          <w:lang w:val="en-GB"/>
        </w:rPr>
      </w:pPr>
      <w:r w:rsidRPr="00980FEF">
        <w:rPr>
          <w:rFonts w:eastAsia="Calibri"/>
          <w:lang w:val="en-GB"/>
        </w:rPr>
        <w:t>In the synthesis by combustion from a precursor aqueous solution where a reducing substance, an oxidant and a precursor of the metal of interest are mixed. Then there is a critical concentration by evaporation, a highly exothermic redox (reduction-oxidation) reaction. The combustion that results in ashes, collected and suitably calcined, generates the desired oxide. Combustion syntheses are characterized by high temperatures, fast heating ra</w:t>
      </w:r>
      <w:r>
        <w:rPr>
          <w:rFonts w:eastAsia="Calibri"/>
          <w:lang w:val="en-GB"/>
        </w:rPr>
        <w:t>tes, and short reaction times; i</w:t>
      </w:r>
      <w:r w:rsidRPr="00980FEF">
        <w:rPr>
          <w:rFonts w:eastAsia="Calibri"/>
          <w:lang w:val="en-GB"/>
        </w:rPr>
        <w:t xml:space="preserve">t is due to the generation of high temperatures, in a short time, that the resulting crystalline phases are capable of forming a large number of nuclei, but these cannot grow significantly, allowing the obtaining of nanostructured phases </w:t>
      </w:r>
      <w:r w:rsidRPr="00FA7909">
        <w:rPr>
          <w:rFonts w:eastAsia="Calibri"/>
          <w:lang w:val="en-GB"/>
        </w:rPr>
        <w:t>[25]</w:t>
      </w:r>
      <w:r>
        <w:rPr>
          <w:rFonts w:eastAsia="Calibri"/>
          <w:lang w:val="en-GB"/>
        </w:rPr>
        <w:t>.</w:t>
      </w:r>
      <w:r w:rsidRPr="00980FEF">
        <w:rPr>
          <w:lang w:val="en-GB"/>
        </w:rPr>
        <w:t xml:space="preserve"> </w:t>
      </w:r>
      <w:r w:rsidRPr="00980FEF">
        <w:rPr>
          <w:rFonts w:eastAsia="Calibri"/>
          <w:lang w:val="en-GB"/>
        </w:rPr>
        <w:t xml:space="preserve">The mechanism of a combustion reaction is extremely complex. Among the parameters that have the greatest influence are: the type of fuel, the reducing agent-oxidant ratio, the use of excess oxidant, the ignition temperature and the critical water content remaining in the precursor mixture in the gel that enters the ignition </w:t>
      </w:r>
      <w:r w:rsidRPr="00FA7909">
        <w:rPr>
          <w:rFonts w:eastAsia="Calibri"/>
          <w:lang w:val="en-GB"/>
        </w:rPr>
        <w:t>[26].</w:t>
      </w:r>
    </w:p>
    <w:p w14:paraId="780183D0" w14:textId="77777777" w:rsidR="00551F33" w:rsidRPr="007F644E" w:rsidRDefault="00551F33" w:rsidP="00551F33">
      <w:pPr>
        <w:rPr>
          <w:lang w:val="en-GB"/>
        </w:rPr>
      </w:pPr>
      <w:r w:rsidRPr="007F644E">
        <w:rPr>
          <w:lang w:val="en-GB"/>
        </w:rPr>
        <w:t>For all samples obtained, the face-centered cubic phase, spinel type of the Co</w:t>
      </w:r>
      <w:r w:rsidRPr="007F644E">
        <w:rPr>
          <w:vertAlign w:val="subscript"/>
          <w:lang w:val="en-GB"/>
        </w:rPr>
        <w:t>3</w:t>
      </w:r>
      <w:r w:rsidRPr="007F644E">
        <w:rPr>
          <w:lang w:val="en-GB"/>
        </w:rPr>
        <w:t>O</w:t>
      </w:r>
      <w:r w:rsidRPr="007F644E">
        <w:rPr>
          <w:vertAlign w:val="subscript"/>
          <w:lang w:val="en-GB"/>
        </w:rPr>
        <w:t>4</w:t>
      </w:r>
      <w:r w:rsidRPr="007F644E">
        <w:rPr>
          <w:lang w:val="en-GB"/>
        </w:rPr>
        <w:t xml:space="preserve"> corresponding to JCPDS No. 421467 was observed. In Figure 4 the diffraction patterns of both samples are observed, identifying the peaks according to the Miller indices of the corresponding plane. The crystallite size for each of the samples in increasing order was 19 nm for the sample synthesized with LIS, 29 nm with ASP, 33 nm with TRIS, and 43 nm with EDTA. </w:t>
      </w:r>
    </w:p>
    <w:p w14:paraId="6D2AC1CA" w14:textId="021FFF3B" w:rsidR="00565E52" w:rsidRDefault="00551F33" w:rsidP="00551F33">
      <w:r w:rsidRPr="00851192">
        <w:rPr>
          <w:lang w:val="en-GB"/>
        </w:rPr>
        <w:t>The pigments obtained, at 500 ° C, with different fuels have the same spinel-type crystalline structure, but differ in the crystallite size reached in each case; which may be due to the heat released during combustion. In particular, for the Co</w:t>
      </w:r>
      <w:r w:rsidRPr="00E23605">
        <w:rPr>
          <w:vertAlign w:val="subscript"/>
          <w:lang w:val="en-GB"/>
        </w:rPr>
        <w:t>3</w:t>
      </w:r>
      <w:r w:rsidRPr="00851192">
        <w:rPr>
          <w:lang w:val="en-GB"/>
        </w:rPr>
        <w:t>O</w:t>
      </w:r>
      <w:r w:rsidRPr="00E23605">
        <w:rPr>
          <w:vertAlign w:val="subscript"/>
          <w:lang w:val="en-GB"/>
        </w:rPr>
        <w:t>4</w:t>
      </w:r>
      <w:r w:rsidRPr="00851192">
        <w:rPr>
          <w:lang w:val="en-GB"/>
        </w:rPr>
        <w:t>-LIS pigment, the smallest size was obtained and coincides with a combu</w:t>
      </w:r>
      <w:r w:rsidR="00EA3B5F">
        <w:rPr>
          <w:lang w:val="en-GB"/>
        </w:rPr>
        <w:t>stion</w:t>
      </w:r>
      <w:r w:rsidRPr="00851192">
        <w:rPr>
          <w:lang w:val="en-GB"/>
        </w:rPr>
        <w:t xml:space="preserve"> reaction without spark and flame, producing less crystallite growth. Toniolo et al</w:t>
      </w:r>
      <w:r>
        <w:rPr>
          <w:lang w:val="en-GB"/>
        </w:rPr>
        <w:t xml:space="preserve">. </w:t>
      </w:r>
      <w:r w:rsidRPr="00E23605">
        <w:rPr>
          <w:lang w:val="en-GB"/>
        </w:rPr>
        <w:t>[26]</w:t>
      </w:r>
      <w:r>
        <w:rPr>
          <w:lang w:val="en-GB"/>
        </w:rPr>
        <w:t xml:space="preserve"> </w:t>
      </w:r>
      <w:r w:rsidRPr="00851192">
        <w:rPr>
          <w:lang w:val="en-GB"/>
        </w:rPr>
        <w:t xml:space="preserve">carried out synthesis by combustion of cobalt oxides using glycine or urea as fuels and in different fuel-oxidant ratios and observed that the metallic Co powder was formed only in fuel-rich reactions with glycine, while the cobaltous oxide phase was formed in </w:t>
      </w:r>
      <w:r w:rsidR="00EA3B5F" w:rsidRPr="00851192">
        <w:rPr>
          <w:lang w:val="en-GB"/>
        </w:rPr>
        <w:t>fuel rich</w:t>
      </w:r>
      <w:r w:rsidRPr="00851192">
        <w:rPr>
          <w:lang w:val="en-GB"/>
        </w:rPr>
        <w:t xml:space="preserve"> reactions of both fuels. This difference may be attributed to the chemical nature of the fuels</w:t>
      </w:r>
      <w:r w:rsidRPr="00980FEF">
        <w:rPr>
          <w:lang w:val="en-GB"/>
        </w:rPr>
        <w:t xml:space="preserve"> </w:t>
      </w:r>
      <w:r>
        <w:rPr>
          <w:lang w:val="en-GB"/>
        </w:rPr>
        <w:t>at a smaller crystallite size there is an increase in the optical absorption band of the oxide</w:t>
      </w:r>
      <w:r w:rsidRPr="006547BA">
        <w:rPr>
          <w:lang w:val="en-GB"/>
        </w:rPr>
        <w:t xml:space="preserve"> </w:t>
      </w:r>
      <w:r w:rsidRPr="00E23605">
        <w:rPr>
          <w:lang w:val="en-GB"/>
        </w:rPr>
        <w:t>[27].</w:t>
      </w:r>
      <w:r w:rsidR="00565E52" w:rsidRPr="001C5679">
        <w:t xml:space="preserve"> </w:t>
      </w:r>
    </w:p>
    <w:p w14:paraId="1C594CB5" w14:textId="77777777" w:rsidR="00551F33" w:rsidRDefault="00551F33" w:rsidP="00551F33"/>
    <w:p w14:paraId="28E08C01" w14:textId="77777777" w:rsidR="00551F33" w:rsidRDefault="00551F33" w:rsidP="00551F33">
      <w:pPr>
        <w:jc w:val="center"/>
      </w:pPr>
      <w:r>
        <w:rPr>
          <w:noProof/>
          <w:lang w:val="es-ES" w:eastAsia="es-ES"/>
        </w:rPr>
        <w:lastRenderedPageBreak/>
        <w:drawing>
          <wp:inline distT="0" distB="0" distL="0" distR="0" wp14:anchorId="41A9FC03" wp14:editId="3135D33C">
            <wp:extent cx="5902982" cy="446848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9">
                      <a:extLst>
                        <a:ext uri="{28A0092B-C50C-407E-A947-70E740481C1C}">
                          <a14:useLocalDpi xmlns:a14="http://schemas.microsoft.com/office/drawing/2010/main" val="0"/>
                        </a:ext>
                      </a:extLst>
                    </a:blip>
                    <a:srcRect t="8428"/>
                    <a:stretch/>
                  </pic:blipFill>
                  <pic:spPr bwMode="auto">
                    <a:xfrm>
                      <a:off x="0" y="0"/>
                      <a:ext cx="5913797" cy="4476670"/>
                    </a:xfrm>
                    <a:prstGeom prst="rect">
                      <a:avLst/>
                    </a:prstGeom>
                    <a:noFill/>
                    <a:ln>
                      <a:noFill/>
                    </a:ln>
                    <a:extLst>
                      <a:ext uri="{53640926-AAD7-44D8-BBD7-CCE9431645EC}">
                        <a14:shadowObscured xmlns:a14="http://schemas.microsoft.com/office/drawing/2010/main"/>
                      </a:ext>
                    </a:extLst>
                  </pic:spPr>
                </pic:pic>
              </a:graphicData>
            </a:graphic>
          </wp:inline>
        </w:drawing>
      </w:r>
    </w:p>
    <w:p w14:paraId="4967CA72" w14:textId="77777777" w:rsidR="00551F33" w:rsidRPr="00551F33" w:rsidRDefault="00551F33" w:rsidP="00551F33">
      <w:pPr>
        <w:pStyle w:val="k-CaptionFigure"/>
        <w:rPr>
          <w:b w:val="0"/>
        </w:rPr>
      </w:pPr>
      <w:r>
        <w:t xml:space="preserve">Figure 4 </w:t>
      </w:r>
      <w:r w:rsidRPr="00551F33">
        <w:rPr>
          <w:b w:val="0"/>
          <w:bCs/>
        </w:rPr>
        <w:t>D</w:t>
      </w:r>
      <w:r w:rsidRPr="00551F33">
        <w:rPr>
          <w:b w:val="0"/>
        </w:rPr>
        <w:t>RX diffraction patterns of pigments calcined at 500 °C</w:t>
      </w:r>
    </w:p>
    <w:p w14:paraId="2DCE4737" w14:textId="47753F52" w:rsidR="00551F33" w:rsidRDefault="00551F33" w:rsidP="00551F33">
      <w:pPr>
        <w:rPr>
          <w:lang w:val="en-GB"/>
        </w:rPr>
      </w:pPr>
      <w:r>
        <w:rPr>
          <w:lang w:val="en-GB"/>
        </w:rPr>
        <w:t xml:space="preserve">The TEM micrographs are seen in Figure 5. An average particle size of approximately 50 nm is observed, with a polyhedral shape. According to Chen </w:t>
      </w:r>
      <w:r w:rsidRPr="00E23605">
        <w:rPr>
          <w:i/>
          <w:lang w:val="en-GB"/>
        </w:rPr>
        <w:t>et al</w:t>
      </w:r>
      <w:r>
        <w:rPr>
          <w:lang w:val="en-GB"/>
        </w:rPr>
        <w:t>. the Co</w:t>
      </w:r>
      <w:r>
        <w:rPr>
          <w:vertAlign w:val="subscript"/>
          <w:lang w:val="en-GB"/>
        </w:rPr>
        <w:t>3</w:t>
      </w:r>
      <w:r>
        <w:rPr>
          <w:lang w:val="en-GB"/>
        </w:rPr>
        <w:t>O</w:t>
      </w:r>
      <w:r>
        <w:rPr>
          <w:vertAlign w:val="subscript"/>
          <w:lang w:val="en-GB"/>
        </w:rPr>
        <w:t>4</w:t>
      </w:r>
      <w:r>
        <w:rPr>
          <w:lang w:val="en-GB"/>
        </w:rPr>
        <w:t xml:space="preserve"> nanowires obtained by green synthesis method and the wire was composed of numerous interconnected nanoparticles with size of 10–20 nm. Nanowires were obtained by a precursor via solution process and subsequent thermal </w:t>
      </w:r>
      <w:r w:rsidR="00EA3B5F">
        <w:rPr>
          <w:lang w:val="en-GB"/>
        </w:rPr>
        <w:t>descomposition</w:t>
      </w:r>
      <w:r>
        <w:rPr>
          <w:lang w:val="en-GB"/>
        </w:rPr>
        <w:t xml:space="preserve"> of the precursors at atmospheric pressure. The </w:t>
      </w:r>
      <w:r w:rsidR="00EA3B5F">
        <w:rPr>
          <w:lang w:val="en-GB"/>
        </w:rPr>
        <w:t>shape</w:t>
      </w:r>
      <w:r>
        <w:rPr>
          <w:lang w:val="en-GB"/>
        </w:rPr>
        <w:t xml:space="preserve"> of final product can be controlled by amount of initial cobalt salt</w:t>
      </w:r>
      <w:r w:rsidRPr="00E23605">
        <w:rPr>
          <w:lang w:val="en-GB"/>
        </w:rPr>
        <w:t xml:space="preserve"> [28]. </w:t>
      </w:r>
    </w:p>
    <w:p w14:paraId="5D8ECD9D" w14:textId="77777777" w:rsidR="00551F33" w:rsidRDefault="00551F33" w:rsidP="00551F33">
      <w:r w:rsidRPr="00E23605">
        <w:t>The SEM micrographs of the samples are observed in Figure 6. In all the synthesized samples an agglomeration of particles with size of the nanometric order is observed. These particles united in a kind of network resulting from the combustion process. In particular, in the case of the Co</w:t>
      </w:r>
      <w:r w:rsidRPr="00E8549A">
        <w:rPr>
          <w:vertAlign w:val="subscript"/>
        </w:rPr>
        <w:t>3</w:t>
      </w:r>
      <w:r w:rsidRPr="00E23605">
        <w:t>O</w:t>
      </w:r>
      <w:r w:rsidRPr="00E8549A">
        <w:rPr>
          <w:vertAlign w:val="subscript"/>
        </w:rPr>
        <w:t>4</w:t>
      </w:r>
      <w:r w:rsidRPr="00E23605">
        <w:t>-LIS sample, it presents greater agglomeration when the combustion process was smoother, without spark and flame, unlike the rest of the pigments, where a more open structure resulting from processes with spark and flame is observed.</w:t>
      </w:r>
      <w:r>
        <w:t xml:space="preserve"> </w:t>
      </w:r>
      <w:r w:rsidRPr="00E23605">
        <w:t>The surface morphologies observed by SEM for the different fuels in obtaining Co</w:t>
      </w:r>
      <w:r w:rsidRPr="00E8549A">
        <w:rPr>
          <w:vertAlign w:val="subscript"/>
        </w:rPr>
        <w:t>3</w:t>
      </w:r>
      <w:r w:rsidRPr="00E23605">
        <w:t>O</w:t>
      </w:r>
      <w:r w:rsidRPr="00E8549A">
        <w:rPr>
          <w:vertAlign w:val="subscript"/>
        </w:rPr>
        <w:t>4</w:t>
      </w:r>
      <w:r w:rsidRPr="00E23605">
        <w:t xml:space="preserve"> is very diverse and depends on the type of synthesis. For example, in Co</w:t>
      </w:r>
      <w:r w:rsidRPr="00E8549A">
        <w:rPr>
          <w:vertAlign w:val="subscript"/>
        </w:rPr>
        <w:t>3</w:t>
      </w:r>
      <w:r w:rsidRPr="00E23605">
        <w:t>O</w:t>
      </w:r>
      <w:r w:rsidRPr="00E8549A">
        <w:rPr>
          <w:vertAlign w:val="subscript"/>
        </w:rPr>
        <w:t>4</w:t>
      </w:r>
      <w:r w:rsidRPr="00E23605">
        <w:t xml:space="preserve"> sol-gel synthesis, the precursors, particularly the nature of the anionic part of the salt, played key roles in determining the size and morphology of the particles.</w:t>
      </w:r>
    </w:p>
    <w:p w14:paraId="4A72E88F" w14:textId="4BCA04DB" w:rsidR="00735843" w:rsidRDefault="00735843" w:rsidP="00735843">
      <w:pPr>
        <w:rPr>
          <w:rFonts w:ascii="TimesNewRoman" w:hAnsi="TimesNewRoman" w:cs="TimesNewRoman"/>
          <w:lang w:val="en-GB" w:eastAsia="es-AR"/>
        </w:rPr>
      </w:pPr>
      <w:r>
        <w:rPr>
          <w:lang w:val="en-GB" w:eastAsia="es-AR"/>
        </w:rPr>
        <w:t>Solvents and capping agents also influenced the particle morphology; however, they had significant impacts on the particle size and other microstructural features</w:t>
      </w:r>
      <w:r w:rsidRPr="00336EE9">
        <w:rPr>
          <w:lang w:val="en-GB" w:eastAsia="es-AR"/>
        </w:rPr>
        <w:t xml:space="preserve"> [12]</w:t>
      </w:r>
      <w:r>
        <w:rPr>
          <w:lang w:val="en-GB" w:eastAsia="es-AR"/>
        </w:rPr>
        <w:t>.</w:t>
      </w:r>
      <w:r w:rsidRPr="00336EE9">
        <w:rPr>
          <w:lang w:val="en-GB" w:eastAsia="es-AR"/>
        </w:rPr>
        <w:t xml:space="preserve"> </w:t>
      </w:r>
    </w:p>
    <w:p w14:paraId="35509EB3" w14:textId="77777777" w:rsidR="00735843" w:rsidRPr="00735843" w:rsidRDefault="00735843" w:rsidP="00551F33">
      <w:pPr>
        <w:rPr>
          <w:lang w:val="en-GB"/>
        </w:rPr>
      </w:pPr>
    </w:p>
    <w:p w14:paraId="70E51051" w14:textId="77777777" w:rsidR="00551F33" w:rsidRDefault="00551F33" w:rsidP="00551F33">
      <w:pPr>
        <w:jc w:val="center"/>
      </w:pPr>
      <w:r>
        <w:rPr>
          <w:noProof/>
          <w:lang w:val="es-ES" w:eastAsia="es-ES"/>
        </w:rPr>
        <w:lastRenderedPageBreak/>
        <w:drawing>
          <wp:inline distT="0" distB="0" distL="0" distR="0" wp14:anchorId="78F57DF5" wp14:editId="7CEE260C">
            <wp:extent cx="3279672" cy="3312800"/>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84842" cy="3318022"/>
                    </a:xfrm>
                    <a:prstGeom prst="rect">
                      <a:avLst/>
                    </a:prstGeom>
                    <a:noFill/>
                  </pic:spPr>
                </pic:pic>
              </a:graphicData>
            </a:graphic>
          </wp:inline>
        </w:drawing>
      </w:r>
    </w:p>
    <w:p w14:paraId="1EAFE4B8" w14:textId="77777777" w:rsidR="00551F33" w:rsidRDefault="00551F33" w:rsidP="00551F33">
      <w:pPr>
        <w:pStyle w:val="k-CaptionFigure"/>
        <w:rPr>
          <w:b w:val="0"/>
        </w:rPr>
      </w:pPr>
      <w:r w:rsidRPr="00E23605">
        <w:t xml:space="preserve">Figure 5 </w:t>
      </w:r>
      <w:r w:rsidRPr="00551F33">
        <w:rPr>
          <w:b w:val="0"/>
        </w:rPr>
        <w:t>TEM Micrographs of pigments calcined at 500 °C. a) Co</w:t>
      </w:r>
      <w:r w:rsidRPr="00551F33">
        <w:rPr>
          <w:b w:val="0"/>
          <w:vertAlign w:val="subscript"/>
        </w:rPr>
        <w:t>3</w:t>
      </w:r>
      <w:r w:rsidRPr="00551F33">
        <w:rPr>
          <w:b w:val="0"/>
        </w:rPr>
        <w:t>O</w:t>
      </w:r>
      <w:r w:rsidRPr="00551F33">
        <w:rPr>
          <w:b w:val="0"/>
          <w:vertAlign w:val="subscript"/>
        </w:rPr>
        <w:t>4</w:t>
      </w:r>
      <w:r w:rsidRPr="00551F33">
        <w:rPr>
          <w:b w:val="0"/>
        </w:rPr>
        <w:t>-ASP, b) Co</w:t>
      </w:r>
      <w:r w:rsidRPr="00551F33">
        <w:rPr>
          <w:b w:val="0"/>
          <w:vertAlign w:val="subscript"/>
        </w:rPr>
        <w:t>3</w:t>
      </w:r>
      <w:r w:rsidRPr="00551F33">
        <w:rPr>
          <w:b w:val="0"/>
        </w:rPr>
        <w:t>O</w:t>
      </w:r>
      <w:r w:rsidRPr="00551F33">
        <w:rPr>
          <w:b w:val="0"/>
          <w:vertAlign w:val="subscript"/>
        </w:rPr>
        <w:t>4</w:t>
      </w:r>
      <w:r w:rsidRPr="00551F33">
        <w:rPr>
          <w:b w:val="0"/>
        </w:rPr>
        <w:t>-EDTA, c) Co</w:t>
      </w:r>
      <w:r w:rsidRPr="00551F33">
        <w:rPr>
          <w:b w:val="0"/>
          <w:vertAlign w:val="subscript"/>
        </w:rPr>
        <w:t>3</w:t>
      </w:r>
      <w:r w:rsidRPr="00551F33">
        <w:rPr>
          <w:b w:val="0"/>
        </w:rPr>
        <w:t>O</w:t>
      </w:r>
      <w:r w:rsidRPr="00551F33">
        <w:rPr>
          <w:b w:val="0"/>
          <w:vertAlign w:val="subscript"/>
        </w:rPr>
        <w:t>4</w:t>
      </w:r>
      <w:r w:rsidRPr="00551F33">
        <w:rPr>
          <w:b w:val="0"/>
        </w:rPr>
        <w:t>-LIS y d) Co</w:t>
      </w:r>
      <w:r w:rsidRPr="00551F33">
        <w:rPr>
          <w:b w:val="0"/>
          <w:vertAlign w:val="subscript"/>
        </w:rPr>
        <w:t>3</w:t>
      </w:r>
      <w:r w:rsidRPr="00551F33">
        <w:rPr>
          <w:b w:val="0"/>
        </w:rPr>
        <w:t>O</w:t>
      </w:r>
      <w:r w:rsidRPr="00551F33">
        <w:rPr>
          <w:b w:val="0"/>
          <w:vertAlign w:val="subscript"/>
        </w:rPr>
        <w:t>4</w:t>
      </w:r>
      <w:r w:rsidRPr="00551F33">
        <w:rPr>
          <w:b w:val="0"/>
        </w:rPr>
        <w:t>-TRIS</w:t>
      </w:r>
    </w:p>
    <w:p w14:paraId="5CE632E5" w14:textId="77777777" w:rsidR="00735843" w:rsidRPr="00551F33" w:rsidRDefault="00735843" w:rsidP="00735843">
      <w:pPr>
        <w:spacing w:after="0"/>
      </w:pPr>
    </w:p>
    <w:p w14:paraId="063B630C" w14:textId="77777777" w:rsidR="00551F33" w:rsidRDefault="00551F33" w:rsidP="00551F33">
      <w:pPr>
        <w:jc w:val="center"/>
      </w:pPr>
      <w:r>
        <w:rPr>
          <w:noProof/>
          <w:lang w:val="es-ES" w:eastAsia="es-ES"/>
        </w:rPr>
        <w:drawing>
          <wp:inline distT="0" distB="0" distL="0" distR="0" wp14:anchorId="573698EA" wp14:editId="64951AE7">
            <wp:extent cx="4994550" cy="404578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95720" cy="4046737"/>
                    </a:xfrm>
                    <a:prstGeom prst="rect">
                      <a:avLst/>
                    </a:prstGeom>
                    <a:noFill/>
                  </pic:spPr>
                </pic:pic>
              </a:graphicData>
            </a:graphic>
          </wp:inline>
        </w:drawing>
      </w:r>
    </w:p>
    <w:p w14:paraId="2F536D65" w14:textId="77777777" w:rsidR="00551F33" w:rsidRDefault="00551F33" w:rsidP="00551F33">
      <w:pPr>
        <w:pStyle w:val="k-CaptionFigure"/>
        <w:rPr>
          <w:b w:val="0"/>
        </w:rPr>
      </w:pPr>
      <w:r w:rsidRPr="00336EE9">
        <w:t xml:space="preserve">Figure 6 </w:t>
      </w:r>
      <w:r w:rsidRPr="00551F33">
        <w:rPr>
          <w:b w:val="0"/>
        </w:rPr>
        <w:t>SEM Micrographs of pigments calcined at 500 °C. a) Co</w:t>
      </w:r>
      <w:r w:rsidRPr="00551F33">
        <w:rPr>
          <w:b w:val="0"/>
          <w:vertAlign w:val="subscript"/>
        </w:rPr>
        <w:t>3</w:t>
      </w:r>
      <w:r w:rsidRPr="00551F33">
        <w:rPr>
          <w:b w:val="0"/>
        </w:rPr>
        <w:t>O</w:t>
      </w:r>
      <w:r w:rsidRPr="00551F33">
        <w:rPr>
          <w:b w:val="0"/>
          <w:vertAlign w:val="subscript"/>
        </w:rPr>
        <w:t>4</w:t>
      </w:r>
      <w:r w:rsidRPr="00551F33">
        <w:rPr>
          <w:b w:val="0"/>
        </w:rPr>
        <w:t>-ASP, b) Co</w:t>
      </w:r>
      <w:r w:rsidRPr="00551F33">
        <w:rPr>
          <w:b w:val="0"/>
          <w:vertAlign w:val="subscript"/>
        </w:rPr>
        <w:t>3</w:t>
      </w:r>
      <w:r w:rsidRPr="00551F33">
        <w:rPr>
          <w:b w:val="0"/>
        </w:rPr>
        <w:t>O</w:t>
      </w:r>
      <w:r w:rsidRPr="00551F33">
        <w:rPr>
          <w:b w:val="0"/>
          <w:vertAlign w:val="subscript"/>
        </w:rPr>
        <w:t>4</w:t>
      </w:r>
      <w:r w:rsidRPr="00551F33">
        <w:rPr>
          <w:b w:val="0"/>
        </w:rPr>
        <w:t>-EDTA, c) Co</w:t>
      </w:r>
      <w:r w:rsidRPr="00551F33">
        <w:rPr>
          <w:b w:val="0"/>
          <w:vertAlign w:val="subscript"/>
        </w:rPr>
        <w:t>3</w:t>
      </w:r>
      <w:r w:rsidRPr="00551F33">
        <w:rPr>
          <w:b w:val="0"/>
        </w:rPr>
        <w:t>O</w:t>
      </w:r>
      <w:r w:rsidRPr="00551F33">
        <w:rPr>
          <w:b w:val="0"/>
          <w:vertAlign w:val="subscript"/>
        </w:rPr>
        <w:t>4</w:t>
      </w:r>
      <w:r w:rsidRPr="00551F33">
        <w:rPr>
          <w:b w:val="0"/>
        </w:rPr>
        <w:t>-LIS and d) Co</w:t>
      </w:r>
      <w:r w:rsidRPr="00551F33">
        <w:rPr>
          <w:b w:val="0"/>
          <w:vertAlign w:val="subscript"/>
        </w:rPr>
        <w:t>3</w:t>
      </w:r>
      <w:r w:rsidRPr="00551F33">
        <w:rPr>
          <w:b w:val="0"/>
        </w:rPr>
        <w:t>O</w:t>
      </w:r>
      <w:r w:rsidRPr="00551F33">
        <w:rPr>
          <w:b w:val="0"/>
          <w:vertAlign w:val="subscript"/>
        </w:rPr>
        <w:t>4</w:t>
      </w:r>
      <w:r>
        <w:rPr>
          <w:b w:val="0"/>
        </w:rPr>
        <w:t>-TRIS</w:t>
      </w:r>
    </w:p>
    <w:p w14:paraId="2E9891B6" w14:textId="77777777" w:rsidR="00735843" w:rsidRPr="00551F33" w:rsidRDefault="00735843" w:rsidP="00735843"/>
    <w:p w14:paraId="2E1ABAAD" w14:textId="77777777" w:rsidR="00551F33" w:rsidRDefault="00551F33" w:rsidP="00551F33">
      <w:r>
        <w:rPr>
          <w:lang w:val="en-GB"/>
        </w:rPr>
        <w:lastRenderedPageBreak/>
        <w:t>Figure 7 shows the FT-IR obtained from each sample. In the one corresponding to the Co</w:t>
      </w:r>
      <w:r w:rsidRPr="00336EE9">
        <w:rPr>
          <w:vertAlign w:val="subscript"/>
          <w:lang w:val="en-GB"/>
        </w:rPr>
        <w:t>3</w:t>
      </w:r>
      <w:r>
        <w:rPr>
          <w:lang w:val="en-GB"/>
        </w:rPr>
        <w:t>O</w:t>
      </w:r>
      <w:r w:rsidRPr="00336EE9">
        <w:rPr>
          <w:vertAlign w:val="subscript"/>
          <w:lang w:val="en-GB"/>
        </w:rPr>
        <w:t>4</w:t>
      </w:r>
      <w:r>
        <w:rPr>
          <w:lang w:val="en-GB"/>
        </w:rPr>
        <w:t xml:space="preserve">-TRIS sample, two different bands are observed at </w:t>
      </w:r>
      <w:r w:rsidRPr="00601B42">
        <w:rPr>
          <w:lang w:val="en-GB"/>
        </w:rPr>
        <w:t>(</w:t>
      </w:r>
      <w:r w:rsidRPr="00601B42">
        <w:rPr>
          <w:rFonts w:ascii="Symbol" w:hAnsi="Symbol"/>
          <w:lang w:val="es-AR"/>
        </w:rPr>
        <w:t></w:t>
      </w:r>
      <w:r w:rsidRPr="00601B42">
        <w:rPr>
          <w:lang w:val="en-GB"/>
        </w:rPr>
        <w:t>1) 578 and (</w:t>
      </w:r>
      <w:r w:rsidRPr="00601B42">
        <w:rPr>
          <w:rFonts w:ascii="Symbol" w:hAnsi="Symbol"/>
          <w:lang w:val="es-AR"/>
        </w:rPr>
        <w:t></w:t>
      </w:r>
      <w:r w:rsidRPr="00601B42">
        <w:rPr>
          <w:lang w:val="en-GB"/>
        </w:rPr>
        <w:t>2) 658cm</w:t>
      </w:r>
      <w:r w:rsidRPr="00601B42">
        <w:rPr>
          <w:vertAlign w:val="superscript"/>
          <w:lang w:val="en-GB"/>
        </w:rPr>
        <w:t>-1</w:t>
      </w:r>
      <w:r>
        <w:rPr>
          <w:lang w:val="en-GB"/>
        </w:rPr>
        <w:t xml:space="preserve"> that would be caused by the vibrations caused by the extension of the metal-oxygen bonds, which is coherent and confirms the obtaining of a Co</w:t>
      </w:r>
      <w:r w:rsidRPr="00336EE9">
        <w:rPr>
          <w:vertAlign w:val="subscript"/>
          <w:lang w:val="en-GB"/>
        </w:rPr>
        <w:t>3</w:t>
      </w:r>
      <w:r>
        <w:rPr>
          <w:lang w:val="en-GB"/>
        </w:rPr>
        <w:t>O</w:t>
      </w:r>
      <w:r w:rsidRPr="00336EE9">
        <w:rPr>
          <w:vertAlign w:val="subscript"/>
          <w:lang w:val="en-GB"/>
        </w:rPr>
        <w:t>4</w:t>
      </w:r>
      <w:r>
        <w:rPr>
          <w:lang w:val="en-GB"/>
        </w:rPr>
        <w:t xml:space="preserve"> with a spinel-like structure </w:t>
      </w:r>
      <w:r w:rsidRPr="00336EE9">
        <w:rPr>
          <w:lang w:val="en-GB"/>
        </w:rPr>
        <w:t>[29]</w:t>
      </w:r>
      <w:r>
        <w:rPr>
          <w:lang w:val="en-GB"/>
        </w:rPr>
        <w:t xml:space="preserve">. The same bands are observed for the rest of the pigments. </w:t>
      </w:r>
      <w:r w:rsidRPr="00601B42">
        <w:rPr>
          <w:lang w:val="en-GB"/>
        </w:rPr>
        <w:t xml:space="preserve">The </w:t>
      </w:r>
      <w:r w:rsidRPr="00601B42">
        <w:rPr>
          <w:rFonts w:ascii="Symbol" w:hAnsi="Symbol"/>
        </w:rPr>
        <w:t></w:t>
      </w:r>
      <w:r w:rsidRPr="00601B42">
        <w:rPr>
          <w:lang w:val="en-GB"/>
        </w:rPr>
        <w:t>1 band is characteristic of the vibration of Co</w:t>
      </w:r>
      <w:r w:rsidRPr="00601B42">
        <w:rPr>
          <w:vertAlign w:val="superscript"/>
          <w:lang w:val="en-GB"/>
        </w:rPr>
        <w:t>+3</w:t>
      </w:r>
      <w:r w:rsidRPr="00601B42">
        <w:rPr>
          <w:lang w:val="en-GB"/>
        </w:rPr>
        <w:t xml:space="preserve"> at the octahedral site and the </w:t>
      </w:r>
      <w:r w:rsidRPr="00601B42">
        <w:rPr>
          <w:rFonts w:ascii="Symbol" w:hAnsi="Symbol"/>
        </w:rPr>
        <w:t></w:t>
      </w:r>
      <w:r w:rsidRPr="00601B42">
        <w:rPr>
          <w:lang w:val="en-GB"/>
        </w:rPr>
        <w:t>2 is attributed to the</w:t>
      </w:r>
      <w:r>
        <w:rPr>
          <w:lang w:val="en-GB"/>
        </w:rPr>
        <w:t xml:space="preserve"> vibration of Co</w:t>
      </w:r>
      <w:r>
        <w:rPr>
          <w:vertAlign w:val="superscript"/>
          <w:lang w:val="en-GB"/>
        </w:rPr>
        <w:t>+2</w:t>
      </w:r>
      <w:r>
        <w:rPr>
          <w:lang w:val="en-GB"/>
        </w:rPr>
        <w:t xml:space="preserve"> at tetrahedral sites in the spinel lattice. The widest bands at 3450 and 1660 cm</w:t>
      </w:r>
      <w:r>
        <w:rPr>
          <w:vertAlign w:val="superscript"/>
          <w:lang w:val="en-GB"/>
        </w:rPr>
        <w:t>-1</w:t>
      </w:r>
      <w:r>
        <w:rPr>
          <w:lang w:val="en-GB"/>
        </w:rPr>
        <w:t xml:space="preserve"> are due to vibration related to the extension of the O-H bond through the H bonds corresponding to water</w:t>
      </w:r>
      <w:r w:rsidRPr="00336EE9">
        <w:rPr>
          <w:lang w:val="en-GB"/>
        </w:rPr>
        <w:t xml:space="preserve"> </w:t>
      </w:r>
      <w:r w:rsidRPr="00336EE9">
        <w:t>[30].</w:t>
      </w:r>
    </w:p>
    <w:p w14:paraId="5278443B" w14:textId="77777777" w:rsidR="00551F33" w:rsidRDefault="00B85E65" w:rsidP="00B85E65">
      <w:pPr>
        <w:jc w:val="center"/>
      </w:pPr>
      <w:r>
        <w:rPr>
          <w:noProof/>
          <w:lang w:val="es-ES" w:eastAsia="es-ES"/>
        </w:rPr>
        <w:drawing>
          <wp:inline distT="0" distB="0" distL="0" distR="0" wp14:anchorId="4735FE36" wp14:editId="7D6645D7">
            <wp:extent cx="4863653" cy="3942271"/>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64837" cy="3943231"/>
                    </a:xfrm>
                    <a:prstGeom prst="rect">
                      <a:avLst/>
                    </a:prstGeom>
                    <a:noFill/>
                  </pic:spPr>
                </pic:pic>
              </a:graphicData>
            </a:graphic>
          </wp:inline>
        </w:drawing>
      </w:r>
    </w:p>
    <w:p w14:paraId="6ADE6CEA" w14:textId="77777777" w:rsidR="00B85E65" w:rsidRPr="00B85E65" w:rsidRDefault="00B85E65" w:rsidP="00B85E65">
      <w:pPr>
        <w:pStyle w:val="k-CaptionFigure"/>
        <w:rPr>
          <w:b w:val="0"/>
        </w:rPr>
      </w:pPr>
      <w:r>
        <w:t xml:space="preserve">Figure 7 </w:t>
      </w:r>
      <w:r w:rsidRPr="00B85E65">
        <w:rPr>
          <w:b w:val="0"/>
        </w:rPr>
        <w:t>FT-IR of the pigments obtained calcined at 500 °C</w:t>
      </w:r>
    </w:p>
    <w:p w14:paraId="720532E8" w14:textId="248B149D" w:rsidR="00B85E65" w:rsidRPr="00336EE9" w:rsidRDefault="00B85E65" w:rsidP="00B85E65">
      <w:pPr>
        <w:rPr>
          <w:rFonts w:eastAsia="Calibri"/>
          <w:lang w:val="en-GB"/>
        </w:rPr>
      </w:pPr>
      <w:r w:rsidRPr="00336EE9">
        <w:rPr>
          <w:rFonts w:eastAsia="Calibri"/>
          <w:lang w:val="en-GB"/>
        </w:rPr>
        <w:t xml:space="preserve">The important physical-optical properties of pigments are their light absorption and scattering properties that depend upon the wavelength, particle size, particle shape and refractive index. Thus, for coloured pigments; the optimum particle size should be 1-10 </w:t>
      </w:r>
      <w:r w:rsidRPr="00336EE9">
        <w:rPr>
          <w:rFonts w:eastAsia="Calibri"/>
        </w:rPr>
        <w:t>μ</w:t>
      </w:r>
      <w:r w:rsidRPr="00336EE9">
        <w:rPr>
          <w:rFonts w:eastAsia="Calibri"/>
          <w:lang w:val="en-GB"/>
        </w:rPr>
        <w:t>m and they should possess high refractive index. to give good tinctorial strength (ability of a colourant to impart colour) Oxide materials like alumina, aluminates, silicates, borates, zirconia and zircons doped with transition metal or rare earth ions meet these requirements of ceramic colourants. Of these, the cobalt pigments are of paramount i</w:t>
      </w:r>
      <w:r w:rsidR="00EA3B5F">
        <w:rPr>
          <w:rFonts w:eastAsia="Calibri"/>
          <w:lang w:val="en-GB"/>
        </w:rPr>
        <w:t>m</w:t>
      </w:r>
      <w:r w:rsidRPr="00336EE9">
        <w:rPr>
          <w:rFonts w:eastAsia="Calibri"/>
          <w:lang w:val="en-GB"/>
        </w:rPr>
        <w:t>portance in ceramic industry due to their spectacular variety of colours high tinting strength and remarkable stability under chemical, thermal and reducing conditions</w:t>
      </w:r>
      <w:r>
        <w:rPr>
          <w:rFonts w:eastAsia="Calibri"/>
          <w:lang w:val="en-GB"/>
        </w:rPr>
        <w:t xml:space="preserve"> </w:t>
      </w:r>
      <w:r w:rsidRPr="00336EE9">
        <w:rPr>
          <w:rFonts w:eastAsia="Calibri"/>
          <w:lang w:val="en-GB"/>
        </w:rPr>
        <w:t>[31]</w:t>
      </w:r>
      <w:r>
        <w:rPr>
          <w:rFonts w:eastAsia="Calibri"/>
          <w:lang w:val="en-GB"/>
        </w:rPr>
        <w:t xml:space="preserve">. </w:t>
      </w:r>
    </w:p>
    <w:p w14:paraId="4C7EEFAF" w14:textId="77777777" w:rsidR="00B85E65" w:rsidRPr="00A420C9" w:rsidRDefault="00B85E65" w:rsidP="00B85E65">
      <w:pPr>
        <w:rPr>
          <w:rFonts w:eastAsia="Calibri"/>
        </w:rPr>
      </w:pPr>
      <w:r w:rsidRPr="00336EE9">
        <w:rPr>
          <w:rFonts w:eastAsia="Calibri"/>
          <w:lang w:val="en-GB"/>
        </w:rPr>
        <w:t>For the solar selective pigments, spinel structured ceramic/ metal nanoparticles are chosen as excellent material. These spinels have the formula of AB</w:t>
      </w:r>
      <w:r w:rsidRPr="00E8549A">
        <w:rPr>
          <w:rFonts w:eastAsia="Calibri"/>
          <w:vertAlign w:val="subscript"/>
          <w:lang w:val="en-GB"/>
        </w:rPr>
        <w:t>2</w:t>
      </w:r>
      <w:r w:rsidRPr="00336EE9">
        <w:rPr>
          <w:rFonts w:eastAsia="Calibri"/>
          <w:lang w:val="en-GB"/>
        </w:rPr>
        <w:t>O</w:t>
      </w:r>
      <w:r w:rsidRPr="00E8549A">
        <w:rPr>
          <w:rFonts w:eastAsia="Calibri"/>
          <w:vertAlign w:val="subscript"/>
          <w:lang w:val="en-GB"/>
        </w:rPr>
        <w:t>4</w:t>
      </w:r>
      <w:r w:rsidRPr="00336EE9">
        <w:rPr>
          <w:rFonts w:eastAsia="Calibri"/>
          <w:lang w:val="en-GB"/>
        </w:rPr>
        <w:t>, where A and B are typically transition metals with partially filled d orbitals such as manganese, cobalt, iron, and chromium. Materials with this crystal structure are well-known for its temperature durability and oxidation stability</w:t>
      </w:r>
      <w:r>
        <w:rPr>
          <w:rFonts w:eastAsia="Calibri"/>
          <w:lang w:val="en-GB"/>
        </w:rPr>
        <w:t xml:space="preserve"> </w:t>
      </w:r>
      <w:r w:rsidRPr="00A420C9">
        <w:rPr>
          <w:rFonts w:eastAsia="Calibri"/>
          <w:lang w:val="en-GB"/>
        </w:rPr>
        <w:t>[32]</w:t>
      </w:r>
      <w:r>
        <w:rPr>
          <w:rFonts w:eastAsia="Calibri"/>
          <w:lang w:val="en-GB"/>
        </w:rPr>
        <w:t>.</w:t>
      </w:r>
    </w:p>
    <w:p w14:paraId="3CBDDABA" w14:textId="77777777" w:rsidR="00B85E65" w:rsidRPr="00336EE9" w:rsidRDefault="00B85E65" w:rsidP="00B85E65">
      <w:pPr>
        <w:rPr>
          <w:rFonts w:eastAsia="Calibri"/>
          <w:lang w:val="en-GB"/>
        </w:rPr>
      </w:pPr>
      <w:r w:rsidRPr="00336EE9">
        <w:rPr>
          <w:rFonts w:eastAsia="Calibri"/>
          <w:lang w:val="en-GB"/>
        </w:rPr>
        <w:t>Recently w</w:t>
      </w:r>
      <w:r>
        <w:rPr>
          <w:rFonts w:eastAsia="Calibri"/>
          <w:lang w:val="en-GB"/>
        </w:rPr>
        <w:t>ere</w:t>
      </w:r>
      <w:r w:rsidRPr="00336EE9">
        <w:rPr>
          <w:rFonts w:eastAsia="Calibri"/>
          <w:lang w:val="en-GB"/>
        </w:rPr>
        <w:t xml:space="preserve"> studied CoCuMnOx </w:t>
      </w:r>
      <w:r w:rsidRPr="00A420C9">
        <w:rPr>
          <w:rFonts w:eastAsia="Calibri"/>
          <w:lang w:val="en-GB"/>
        </w:rPr>
        <w:t>[33] and CuCrMnO4 [32]</w:t>
      </w:r>
      <w:r w:rsidRPr="00336EE9">
        <w:rPr>
          <w:rFonts w:eastAsia="Calibri"/>
          <w:lang w:val="en-GB"/>
        </w:rPr>
        <w:t xml:space="preserve"> as pigments for spectrally selective paints. In particular, cobalt spinels have been obtained by precipitation methods as pigment for absorbing solar paints </w:t>
      </w:r>
      <w:r w:rsidRPr="00A420C9">
        <w:rPr>
          <w:rFonts w:eastAsia="Calibri"/>
          <w:lang w:val="en-GB"/>
        </w:rPr>
        <w:t>[34].</w:t>
      </w:r>
      <w:r w:rsidRPr="00336EE9">
        <w:rPr>
          <w:rFonts w:eastAsia="Calibri"/>
          <w:lang w:val="en-GB"/>
        </w:rPr>
        <w:t xml:space="preserve"> Actually, </w:t>
      </w:r>
      <w:r w:rsidRPr="00336EE9">
        <w:rPr>
          <w:lang w:val="en-GB"/>
        </w:rPr>
        <w:t>has been reported</w:t>
      </w:r>
      <w:r w:rsidRPr="00336EE9">
        <w:rPr>
          <w:rFonts w:eastAsia="Calibri"/>
          <w:lang w:val="en-GB"/>
        </w:rPr>
        <w:t xml:space="preserve"> the employing of CoO and </w:t>
      </w:r>
      <w:r w:rsidRPr="00336EE9">
        <w:rPr>
          <w:lang w:val="en-GB"/>
        </w:rPr>
        <w:t>Co</w:t>
      </w:r>
      <w:r w:rsidRPr="00A420C9">
        <w:rPr>
          <w:vertAlign w:val="subscript"/>
          <w:lang w:val="en-GB"/>
        </w:rPr>
        <w:t>3</w:t>
      </w:r>
      <w:r w:rsidRPr="00336EE9">
        <w:rPr>
          <w:lang w:val="en-GB"/>
        </w:rPr>
        <w:t>O</w:t>
      </w:r>
      <w:r w:rsidRPr="00A420C9">
        <w:rPr>
          <w:vertAlign w:val="subscript"/>
          <w:lang w:val="en-GB"/>
        </w:rPr>
        <w:t>4</w:t>
      </w:r>
      <w:r w:rsidRPr="00336EE9">
        <w:rPr>
          <w:lang w:val="en-GB"/>
        </w:rPr>
        <w:t xml:space="preserve"> as pigments for solar selective surfaces in CSP (concentrating solar power) systems</w:t>
      </w:r>
      <w:r>
        <w:rPr>
          <w:lang w:val="en-GB"/>
        </w:rPr>
        <w:t xml:space="preserve"> </w:t>
      </w:r>
      <w:r w:rsidRPr="00A420C9">
        <w:rPr>
          <w:lang w:val="en-GB"/>
        </w:rPr>
        <w:t>[35].</w:t>
      </w:r>
    </w:p>
    <w:p w14:paraId="5A7CD65A" w14:textId="647B6482" w:rsidR="00B85E65" w:rsidRDefault="00B85E65" w:rsidP="00B85E65">
      <w:pPr>
        <w:rPr>
          <w:lang w:val="en-GB"/>
        </w:rPr>
      </w:pPr>
      <w:r w:rsidRPr="009F0E5F">
        <w:rPr>
          <w:lang w:val="en-GB"/>
        </w:rPr>
        <w:t xml:space="preserve">In relation with optical properties, the transmittance of both </w:t>
      </w:r>
      <w:r>
        <w:rPr>
          <w:lang w:val="en-GB"/>
        </w:rPr>
        <w:t>Co</w:t>
      </w:r>
      <w:r>
        <w:rPr>
          <w:vertAlign w:val="subscript"/>
          <w:lang w:val="en-GB"/>
        </w:rPr>
        <w:t>3</w:t>
      </w:r>
      <w:r>
        <w:rPr>
          <w:lang w:val="en-GB"/>
        </w:rPr>
        <w:t>O</w:t>
      </w:r>
      <w:r>
        <w:rPr>
          <w:vertAlign w:val="subscript"/>
          <w:lang w:val="en-GB"/>
        </w:rPr>
        <w:t>4</w:t>
      </w:r>
      <w:r>
        <w:rPr>
          <w:lang w:val="en-GB"/>
        </w:rPr>
        <w:t>-ASP (corresponding to Co</w:t>
      </w:r>
      <w:r>
        <w:rPr>
          <w:vertAlign w:val="subscript"/>
          <w:lang w:val="en-GB"/>
        </w:rPr>
        <w:t>3</w:t>
      </w:r>
      <w:r>
        <w:rPr>
          <w:lang w:val="en-GB"/>
        </w:rPr>
        <w:t>O</w:t>
      </w:r>
      <w:r>
        <w:rPr>
          <w:vertAlign w:val="subscript"/>
          <w:lang w:val="en-GB"/>
        </w:rPr>
        <w:t>4</w:t>
      </w:r>
      <w:r>
        <w:rPr>
          <w:lang w:val="en-GB"/>
        </w:rPr>
        <w:t xml:space="preserve">-ES-Asp in </w:t>
      </w:r>
      <w:r w:rsidR="00EA3B5F">
        <w:rPr>
          <w:lang w:val="en-GB"/>
        </w:rPr>
        <w:t>f</w:t>
      </w:r>
      <w:r>
        <w:rPr>
          <w:lang w:val="en-GB"/>
        </w:rPr>
        <w:t>igure 8 and 9, “ES” is Stoichiometric) and Co</w:t>
      </w:r>
      <w:r>
        <w:rPr>
          <w:vertAlign w:val="subscript"/>
          <w:lang w:val="en-GB"/>
        </w:rPr>
        <w:t>3</w:t>
      </w:r>
      <w:r>
        <w:rPr>
          <w:lang w:val="en-GB"/>
        </w:rPr>
        <w:t>O</w:t>
      </w:r>
      <w:r>
        <w:rPr>
          <w:vertAlign w:val="subscript"/>
          <w:lang w:val="en-GB"/>
        </w:rPr>
        <w:t>4</w:t>
      </w:r>
      <w:r>
        <w:rPr>
          <w:lang w:val="en-GB"/>
        </w:rPr>
        <w:t>-LIS</w:t>
      </w:r>
      <w:r w:rsidRPr="009233D4">
        <w:rPr>
          <w:lang w:val="en-GB"/>
        </w:rPr>
        <w:t>(corresponding to Co</w:t>
      </w:r>
      <w:r w:rsidRPr="009233D4">
        <w:rPr>
          <w:vertAlign w:val="subscript"/>
          <w:lang w:val="en-GB"/>
        </w:rPr>
        <w:t>3</w:t>
      </w:r>
      <w:r w:rsidRPr="009233D4">
        <w:rPr>
          <w:lang w:val="en-GB"/>
        </w:rPr>
        <w:t>O</w:t>
      </w:r>
      <w:r w:rsidRPr="009233D4">
        <w:rPr>
          <w:vertAlign w:val="subscript"/>
          <w:lang w:val="en-GB"/>
        </w:rPr>
        <w:t>4</w:t>
      </w:r>
      <w:r w:rsidRPr="009233D4">
        <w:rPr>
          <w:lang w:val="en-GB"/>
        </w:rPr>
        <w:t>-ES-</w:t>
      </w:r>
      <w:r>
        <w:rPr>
          <w:lang w:val="en-GB"/>
        </w:rPr>
        <w:t>Lis</w:t>
      </w:r>
      <w:r w:rsidRPr="009233D4">
        <w:rPr>
          <w:lang w:val="en-GB"/>
        </w:rPr>
        <w:t xml:space="preserve"> in </w:t>
      </w:r>
      <w:r w:rsidR="00EA3B5F">
        <w:rPr>
          <w:lang w:val="en-GB"/>
        </w:rPr>
        <w:t>f</w:t>
      </w:r>
      <w:r w:rsidRPr="009233D4">
        <w:rPr>
          <w:lang w:val="en-GB"/>
        </w:rPr>
        <w:t>igure 8 and 9,  “ES” is Stoichiometric)</w:t>
      </w:r>
      <w:r w:rsidRPr="009F0E5F">
        <w:rPr>
          <w:lang w:val="en-GB"/>
        </w:rPr>
        <w:t xml:space="preserve"> is equal </w:t>
      </w:r>
      <w:r w:rsidRPr="009F0E5F">
        <w:rPr>
          <w:lang w:val="en-GB"/>
        </w:rPr>
        <w:lastRenderedPageBreak/>
        <w:t xml:space="preserve">to zero throughout the spectral range. </w:t>
      </w:r>
      <w:r>
        <w:rPr>
          <w:lang w:val="en-GB"/>
        </w:rPr>
        <w:t>In Figure 8 the spectral reflectance curves of both samples are between reflectance values of 0.1 and 0.3, approximately, the Co</w:t>
      </w:r>
      <w:r>
        <w:rPr>
          <w:vertAlign w:val="subscript"/>
          <w:lang w:val="en-GB"/>
        </w:rPr>
        <w:t>3</w:t>
      </w:r>
      <w:r>
        <w:rPr>
          <w:lang w:val="en-GB"/>
        </w:rPr>
        <w:t>O</w:t>
      </w:r>
      <w:r>
        <w:rPr>
          <w:vertAlign w:val="subscript"/>
          <w:lang w:val="en-GB"/>
        </w:rPr>
        <w:t>4</w:t>
      </w:r>
      <w:r>
        <w:rPr>
          <w:lang w:val="en-GB"/>
        </w:rPr>
        <w:t>-ASP values are higher than those of the Co</w:t>
      </w:r>
      <w:r>
        <w:rPr>
          <w:vertAlign w:val="subscript"/>
          <w:lang w:val="en-GB"/>
        </w:rPr>
        <w:t>3</w:t>
      </w:r>
      <w:r>
        <w:rPr>
          <w:lang w:val="en-GB"/>
        </w:rPr>
        <w:t>O</w:t>
      </w:r>
      <w:r>
        <w:rPr>
          <w:vertAlign w:val="subscript"/>
          <w:lang w:val="en-GB"/>
        </w:rPr>
        <w:t>4</w:t>
      </w:r>
      <w:r>
        <w:rPr>
          <w:lang w:val="en-GB"/>
        </w:rPr>
        <w:t>-LIS sample.</w:t>
      </w:r>
    </w:p>
    <w:p w14:paraId="02383129" w14:textId="77777777" w:rsidR="00B85E65" w:rsidRDefault="00B85E65" w:rsidP="00B85E65">
      <w:pPr>
        <w:jc w:val="center"/>
      </w:pPr>
      <w:r>
        <w:rPr>
          <w:noProof/>
          <w:lang w:val="es-ES" w:eastAsia="es-ES"/>
        </w:rPr>
        <w:drawing>
          <wp:inline distT="0" distB="0" distL="0" distR="0" wp14:anchorId="57923C58" wp14:editId="2021E3E6">
            <wp:extent cx="4635610" cy="30453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3">
                      <a:extLst>
                        <a:ext uri="{28A0092B-C50C-407E-A947-70E740481C1C}">
                          <a14:useLocalDpi xmlns:a14="http://schemas.microsoft.com/office/drawing/2010/main" val="0"/>
                        </a:ext>
                      </a:extLst>
                    </a:blip>
                    <a:srcRect l="4009"/>
                    <a:stretch/>
                  </pic:blipFill>
                  <pic:spPr bwMode="auto">
                    <a:xfrm>
                      <a:off x="0" y="0"/>
                      <a:ext cx="4640700" cy="3048694"/>
                    </a:xfrm>
                    <a:prstGeom prst="rect">
                      <a:avLst/>
                    </a:prstGeom>
                    <a:noFill/>
                    <a:ln>
                      <a:noFill/>
                    </a:ln>
                    <a:extLst>
                      <a:ext uri="{53640926-AAD7-44D8-BBD7-CCE9431645EC}">
                        <a14:shadowObscured xmlns:a14="http://schemas.microsoft.com/office/drawing/2010/main"/>
                      </a:ext>
                    </a:extLst>
                  </pic:spPr>
                </pic:pic>
              </a:graphicData>
            </a:graphic>
          </wp:inline>
        </w:drawing>
      </w:r>
    </w:p>
    <w:p w14:paraId="40C2AC0A" w14:textId="77777777" w:rsidR="00B85E65" w:rsidRPr="00B85E65" w:rsidRDefault="00B85E65" w:rsidP="00B85E65">
      <w:pPr>
        <w:pStyle w:val="k-CaptionFigure"/>
        <w:rPr>
          <w:b w:val="0"/>
        </w:rPr>
      </w:pPr>
      <w:r w:rsidRPr="00CC4561">
        <w:t xml:space="preserve">Figure 8 </w:t>
      </w:r>
      <w:r w:rsidRPr="00B85E65">
        <w:rPr>
          <w:b w:val="0"/>
        </w:rPr>
        <w:t>Spectral reflectance values in the solar range for the samples Co</w:t>
      </w:r>
      <w:r w:rsidRPr="00B85E65">
        <w:rPr>
          <w:b w:val="0"/>
          <w:vertAlign w:val="subscript"/>
        </w:rPr>
        <w:t>3</w:t>
      </w:r>
      <w:r w:rsidRPr="00B85E65">
        <w:rPr>
          <w:b w:val="0"/>
        </w:rPr>
        <w:t>O</w:t>
      </w:r>
      <w:r w:rsidRPr="00B85E65">
        <w:rPr>
          <w:b w:val="0"/>
          <w:vertAlign w:val="subscript"/>
        </w:rPr>
        <w:t>4</w:t>
      </w:r>
      <w:r w:rsidRPr="00B85E65">
        <w:rPr>
          <w:b w:val="0"/>
        </w:rPr>
        <w:t>-ES-ASP (red) and Co</w:t>
      </w:r>
      <w:r w:rsidRPr="00B85E65">
        <w:rPr>
          <w:b w:val="0"/>
          <w:vertAlign w:val="subscript"/>
        </w:rPr>
        <w:t>3</w:t>
      </w:r>
      <w:r w:rsidRPr="00B85E65">
        <w:rPr>
          <w:b w:val="0"/>
        </w:rPr>
        <w:t>O</w:t>
      </w:r>
      <w:r w:rsidRPr="00B85E65">
        <w:rPr>
          <w:b w:val="0"/>
          <w:vertAlign w:val="subscript"/>
        </w:rPr>
        <w:t>4</w:t>
      </w:r>
      <w:r w:rsidRPr="00B85E65">
        <w:rPr>
          <w:b w:val="0"/>
        </w:rPr>
        <w:t>-ES-LIS (blue)</w:t>
      </w:r>
    </w:p>
    <w:p w14:paraId="074ED3AE" w14:textId="77777777" w:rsidR="00B85E65" w:rsidRDefault="00B85E65" w:rsidP="00B85E65">
      <w:pPr>
        <w:rPr>
          <w:lang w:val="en-GB"/>
        </w:rPr>
      </w:pPr>
      <w:r>
        <w:rPr>
          <w:lang w:val="en-GB"/>
        </w:rPr>
        <w:t>Figure 9 shows the curves obtained for the spectral absorbance for the samples studied; these are located between values of 0.7 to 0.9, approximately. For the case of the Co</w:t>
      </w:r>
      <w:r>
        <w:rPr>
          <w:vertAlign w:val="subscript"/>
          <w:lang w:val="en-GB"/>
        </w:rPr>
        <w:t>3</w:t>
      </w:r>
      <w:r>
        <w:rPr>
          <w:lang w:val="en-GB"/>
        </w:rPr>
        <w:t>O</w:t>
      </w:r>
      <w:r>
        <w:rPr>
          <w:vertAlign w:val="subscript"/>
          <w:lang w:val="en-GB"/>
        </w:rPr>
        <w:t>4</w:t>
      </w:r>
      <w:r>
        <w:rPr>
          <w:lang w:val="en-GB"/>
        </w:rPr>
        <w:t>-LIS sample, higher values are observed than for the Co</w:t>
      </w:r>
      <w:r>
        <w:rPr>
          <w:vertAlign w:val="subscript"/>
          <w:lang w:val="en-GB"/>
        </w:rPr>
        <w:t>3</w:t>
      </w:r>
      <w:r>
        <w:rPr>
          <w:lang w:val="en-GB"/>
        </w:rPr>
        <w:t>O</w:t>
      </w:r>
      <w:r>
        <w:rPr>
          <w:vertAlign w:val="subscript"/>
          <w:lang w:val="en-GB"/>
        </w:rPr>
        <w:t>4</w:t>
      </w:r>
      <w:r>
        <w:rPr>
          <w:lang w:val="en-GB"/>
        </w:rPr>
        <w:t>-ASP.</w:t>
      </w:r>
    </w:p>
    <w:p w14:paraId="761B6EBC" w14:textId="77777777" w:rsidR="00B85E65" w:rsidRDefault="00B85E65" w:rsidP="00B85E65">
      <w:pPr>
        <w:jc w:val="center"/>
      </w:pPr>
      <w:r>
        <w:rPr>
          <w:noProof/>
          <w:lang w:val="es-ES" w:eastAsia="es-ES"/>
        </w:rPr>
        <w:drawing>
          <wp:inline distT="0" distB="0" distL="0" distR="0" wp14:anchorId="4F309F8F" wp14:editId="176602D9">
            <wp:extent cx="5346700" cy="345694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46700" cy="3456940"/>
                    </a:xfrm>
                    <a:prstGeom prst="rect">
                      <a:avLst/>
                    </a:prstGeom>
                    <a:noFill/>
                  </pic:spPr>
                </pic:pic>
              </a:graphicData>
            </a:graphic>
          </wp:inline>
        </w:drawing>
      </w:r>
    </w:p>
    <w:p w14:paraId="157408CD" w14:textId="77777777" w:rsidR="00B85E65" w:rsidRPr="00FF0378" w:rsidRDefault="00B85E65" w:rsidP="00FF0378">
      <w:pPr>
        <w:pStyle w:val="k-CaptionFigure"/>
        <w:rPr>
          <w:b w:val="0"/>
        </w:rPr>
      </w:pPr>
      <w:r w:rsidRPr="00CC4561">
        <w:t xml:space="preserve">Figure 9 </w:t>
      </w:r>
      <w:r w:rsidRPr="00B85E65">
        <w:rPr>
          <w:b w:val="0"/>
        </w:rPr>
        <w:t>Spectral absorbance values in the solar range for the samples Co</w:t>
      </w:r>
      <w:r w:rsidRPr="00B85E65">
        <w:rPr>
          <w:b w:val="0"/>
          <w:vertAlign w:val="subscript"/>
        </w:rPr>
        <w:t>3</w:t>
      </w:r>
      <w:r w:rsidRPr="00B85E65">
        <w:rPr>
          <w:b w:val="0"/>
        </w:rPr>
        <w:t>O</w:t>
      </w:r>
      <w:r w:rsidRPr="00B85E65">
        <w:rPr>
          <w:b w:val="0"/>
          <w:vertAlign w:val="subscript"/>
        </w:rPr>
        <w:t>4</w:t>
      </w:r>
      <w:r w:rsidRPr="00B85E65">
        <w:rPr>
          <w:b w:val="0"/>
        </w:rPr>
        <w:t>-ES-Asp (red) and</w:t>
      </w:r>
      <w:r>
        <w:rPr>
          <w:b w:val="0"/>
        </w:rPr>
        <w:t xml:space="preserve"> </w:t>
      </w:r>
      <w:r w:rsidRPr="00B85E65">
        <w:rPr>
          <w:b w:val="0"/>
        </w:rPr>
        <w:t>Co</w:t>
      </w:r>
      <w:r w:rsidRPr="00B85E65">
        <w:rPr>
          <w:b w:val="0"/>
          <w:vertAlign w:val="subscript"/>
        </w:rPr>
        <w:t>3</w:t>
      </w:r>
      <w:r w:rsidRPr="00B85E65">
        <w:rPr>
          <w:b w:val="0"/>
        </w:rPr>
        <w:t>O</w:t>
      </w:r>
      <w:r w:rsidRPr="00B85E65">
        <w:rPr>
          <w:b w:val="0"/>
          <w:vertAlign w:val="subscript"/>
        </w:rPr>
        <w:t>4</w:t>
      </w:r>
      <w:r w:rsidR="00FF0378">
        <w:rPr>
          <w:b w:val="0"/>
        </w:rPr>
        <w:t>-ES-Lis (blue).</w:t>
      </w:r>
    </w:p>
    <w:p w14:paraId="1F826688" w14:textId="77777777" w:rsidR="00B85E65" w:rsidRPr="00B85E65" w:rsidRDefault="00B85E65" w:rsidP="00B85E65">
      <w:pPr>
        <w:rPr>
          <w:lang w:val="es-AR"/>
        </w:rPr>
      </w:pPr>
      <w:r>
        <w:rPr>
          <w:lang w:val="en-GB"/>
        </w:rPr>
        <w:t xml:space="preserve">Table 2 shows the values corresponding to the reflectance and solar absorbance of both samples. </w:t>
      </w:r>
      <w:r w:rsidRPr="00E64D23">
        <w:rPr>
          <w:lang w:val="es-AR"/>
        </w:rPr>
        <w:t xml:space="preserve">Resultando valores de </w:t>
      </w:r>
      <w:r w:rsidRPr="001A0EF0">
        <w:rPr>
          <w:rFonts w:ascii="Symbol" w:hAnsi="Symbol"/>
        </w:rPr>
        <w:t></w:t>
      </w:r>
      <w:r w:rsidRPr="001A0EF0">
        <w:rPr>
          <w:lang w:val="es-AR"/>
        </w:rPr>
        <w:t xml:space="preserve">s ~0,1 para ambos pigmentos y de </w:t>
      </w:r>
      <w:r w:rsidRPr="001A0EF0">
        <w:rPr>
          <w:rFonts w:ascii="Symbol" w:hAnsi="Symbol"/>
        </w:rPr>
        <w:t></w:t>
      </w:r>
      <w:r w:rsidRPr="001A0EF0">
        <w:rPr>
          <w:lang w:val="es-AR"/>
        </w:rPr>
        <w:t>s ~</w:t>
      </w:r>
      <w:r w:rsidRPr="00E64D23">
        <w:rPr>
          <w:lang w:val="es-AR"/>
        </w:rPr>
        <w:t>0,</w:t>
      </w:r>
      <w:r>
        <w:rPr>
          <w:lang w:val="es-AR"/>
        </w:rPr>
        <w:t>9.</w:t>
      </w:r>
    </w:p>
    <w:p w14:paraId="68A442E0" w14:textId="77777777" w:rsidR="00B85E65" w:rsidRDefault="00B85E65" w:rsidP="00B85E65">
      <w:pPr>
        <w:pStyle w:val="l-CaptionsTables"/>
        <w:tabs>
          <w:tab w:val="left" w:pos="5059"/>
        </w:tabs>
        <w:rPr>
          <w:bCs/>
          <w:sz w:val="22"/>
          <w:lang w:val="en-GB"/>
        </w:rPr>
      </w:pPr>
      <w:r>
        <w:rPr>
          <w:lang w:val="en-GB"/>
        </w:rPr>
        <w:lastRenderedPageBreak/>
        <w:t xml:space="preserve">Table 2 </w:t>
      </w:r>
      <w:r w:rsidRPr="00B85E65">
        <w:rPr>
          <w:b w:val="0"/>
          <w:lang w:val="en-GB"/>
        </w:rPr>
        <w:t>Optical property values of the two samples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4" w:type="dxa"/>
          <w:right w:w="144" w:type="dxa"/>
        </w:tblCellMar>
        <w:tblLook w:val="01E0" w:firstRow="1" w:lastRow="1" w:firstColumn="1" w:lastColumn="1" w:noHBand="0" w:noVBand="0"/>
      </w:tblPr>
      <w:tblGrid>
        <w:gridCol w:w="1200"/>
        <w:gridCol w:w="1188"/>
        <w:gridCol w:w="1227"/>
      </w:tblGrid>
      <w:tr w:rsidR="00B85E65" w:rsidRPr="00B85E65" w14:paraId="23E4FD45" w14:textId="77777777" w:rsidTr="00FF0378">
        <w:trPr>
          <w:jc w:val="center"/>
        </w:trPr>
        <w:tc>
          <w:tcPr>
            <w:tcW w:w="1200" w:type="dxa"/>
            <w:tcBorders>
              <w:top w:val="single" w:sz="4" w:space="0" w:color="auto"/>
              <w:left w:val="single" w:sz="4" w:space="0" w:color="auto"/>
              <w:bottom w:val="single" w:sz="4" w:space="0" w:color="auto"/>
              <w:right w:val="single" w:sz="4" w:space="0" w:color="auto"/>
            </w:tcBorders>
            <w:hideMark/>
          </w:tcPr>
          <w:p w14:paraId="00A6728E" w14:textId="77777777" w:rsidR="00B85E65" w:rsidRPr="00B85E65" w:rsidRDefault="00B85E65" w:rsidP="00B85E65">
            <w:pPr>
              <w:pStyle w:val="o-Table"/>
              <w:jc w:val="center"/>
              <w:rPr>
                <w:b/>
              </w:rPr>
            </w:pPr>
            <w:r w:rsidRPr="00B85E65">
              <w:rPr>
                <w:b/>
              </w:rPr>
              <w:t>Sample</w:t>
            </w:r>
          </w:p>
        </w:tc>
        <w:tc>
          <w:tcPr>
            <w:tcW w:w="1188" w:type="dxa"/>
            <w:tcBorders>
              <w:top w:val="single" w:sz="4" w:space="0" w:color="auto"/>
              <w:left w:val="single" w:sz="4" w:space="0" w:color="auto"/>
              <w:bottom w:val="single" w:sz="4" w:space="0" w:color="auto"/>
              <w:right w:val="single" w:sz="4" w:space="0" w:color="auto"/>
            </w:tcBorders>
            <w:hideMark/>
          </w:tcPr>
          <w:p w14:paraId="0C8569A3" w14:textId="77777777" w:rsidR="00B85E65" w:rsidRPr="00B85E65" w:rsidRDefault="00B85E65" w:rsidP="00B85E65">
            <w:pPr>
              <w:pStyle w:val="o-Table"/>
              <w:jc w:val="center"/>
              <w:rPr>
                <w:b/>
              </w:rPr>
            </w:pPr>
            <w:r w:rsidRPr="00B85E65">
              <w:rPr>
                <w:rFonts w:ascii="Symbol" w:hAnsi="Symbol"/>
                <w:b/>
              </w:rPr>
              <w:t></w:t>
            </w:r>
            <w:r w:rsidRPr="00B85E65">
              <w:rPr>
                <w:b/>
                <w:vertAlign w:val="subscript"/>
              </w:rPr>
              <w:t>s</w:t>
            </w:r>
          </w:p>
        </w:tc>
        <w:tc>
          <w:tcPr>
            <w:tcW w:w="1227" w:type="dxa"/>
            <w:tcBorders>
              <w:top w:val="single" w:sz="4" w:space="0" w:color="auto"/>
              <w:left w:val="single" w:sz="4" w:space="0" w:color="auto"/>
              <w:bottom w:val="single" w:sz="4" w:space="0" w:color="auto"/>
              <w:right w:val="single" w:sz="4" w:space="0" w:color="auto"/>
            </w:tcBorders>
            <w:hideMark/>
          </w:tcPr>
          <w:p w14:paraId="75324098" w14:textId="77777777" w:rsidR="00B85E65" w:rsidRPr="00B85E65" w:rsidRDefault="00B85E65" w:rsidP="00B85E65">
            <w:pPr>
              <w:pStyle w:val="o-Table"/>
              <w:jc w:val="center"/>
              <w:rPr>
                <w:b/>
              </w:rPr>
            </w:pPr>
            <w:r w:rsidRPr="00B85E65">
              <w:rPr>
                <w:rFonts w:ascii="Symbol" w:hAnsi="Symbol"/>
                <w:b/>
              </w:rPr>
              <w:t></w:t>
            </w:r>
            <w:r w:rsidRPr="00B85E65">
              <w:rPr>
                <w:b/>
                <w:vertAlign w:val="subscript"/>
              </w:rPr>
              <w:t>s</w:t>
            </w:r>
          </w:p>
        </w:tc>
      </w:tr>
      <w:tr w:rsidR="00B85E65" w14:paraId="174FFB7A" w14:textId="77777777" w:rsidTr="00FF0378">
        <w:trPr>
          <w:jc w:val="center"/>
        </w:trPr>
        <w:tc>
          <w:tcPr>
            <w:tcW w:w="1200" w:type="dxa"/>
            <w:tcBorders>
              <w:top w:val="single" w:sz="4" w:space="0" w:color="auto"/>
              <w:left w:val="single" w:sz="4" w:space="0" w:color="auto"/>
              <w:bottom w:val="single" w:sz="4" w:space="0" w:color="auto"/>
              <w:right w:val="single" w:sz="4" w:space="0" w:color="auto"/>
            </w:tcBorders>
            <w:hideMark/>
          </w:tcPr>
          <w:p w14:paraId="22D50D78" w14:textId="77777777" w:rsidR="00B85E65" w:rsidRDefault="00B85E65" w:rsidP="00B85E65">
            <w:pPr>
              <w:pStyle w:val="o-Table"/>
            </w:pPr>
            <w:r>
              <w:t>Co</w:t>
            </w:r>
            <w:r>
              <w:rPr>
                <w:vertAlign w:val="subscript"/>
              </w:rPr>
              <w:t>3</w:t>
            </w:r>
            <w:r>
              <w:t>O</w:t>
            </w:r>
            <w:r>
              <w:rPr>
                <w:vertAlign w:val="subscript"/>
              </w:rPr>
              <w:t>4</w:t>
            </w:r>
            <w:r>
              <w:t>-LIS</w:t>
            </w:r>
          </w:p>
        </w:tc>
        <w:tc>
          <w:tcPr>
            <w:tcW w:w="1188" w:type="dxa"/>
            <w:tcBorders>
              <w:top w:val="single" w:sz="4" w:space="0" w:color="auto"/>
              <w:left w:val="single" w:sz="4" w:space="0" w:color="auto"/>
              <w:bottom w:val="single" w:sz="4" w:space="0" w:color="auto"/>
              <w:right w:val="single" w:sz="4" w:space="0" w:color="auto"/>
            </w:tcBorders>
            <w:hideMark/>
          </w:tcPr>
          <w:p w14:paraId="6272806B" w14:textId="77777777" w:rsidR="00B85E65" w:rsidRDefault="00B85E65" w:rsidP="00B85E65">
            <w:pPr>
              <w:pStyle w:val="o-Table"/>
              <w:jc w:val="center"/>
            </w:pPr>
            <w:r>
              <w:t>0.11±0.05</w:t>
            </w:r>
          </w:p>
        </w:tc>
        <w:tc>
          <w:tcPr>
            <w:tcW w:w="1227" w:type="dxa"/>
            <w:tcBorders>
              <w:top w:val="single" w:sz="4" w:space="0" w:color="auto"/>
              <w:left w:val="single" w:sz="4" w:space="0" w:color="auto"/>
              <w:bottom w:val="single" w:sz="4" w:space="0" w:color="auto"/>
              <w:right w:val="single" w:sz="4" w:space="0" w:color="auto"/>
            </w:tcBorders>
            <w:hideMark/>
          </w:tcPr>
          <w:p w14:paraId="5DB5822E" w14:textId="77777777" w:rsidR="00B85E65" w:rsidRDefault="00B85E65" w:rsidP="00B85E65">
            <w:pPr>
              <w:pStyle w:val="o-Table"/>
              <w:jc w:val="center"/>
            </w:pPr>
            <w:r>
              <w:t>0.89 ±0.05</w:t>
            </w:r>
          </w:p>
        </w:tc>
      </w:tr>
      <w:tr w:rsidR="00B85E65" w14:paraId="683FC433" w14:textId="77777777" w:rsidTr="00FF0378">
        <w:trPr>
          <w:jc w:val="center"/>
        </w:trPr>
        <w:tc>
          <w:tcPr>
            <w:tcW w:w="1200" w:type="dxa"/>
            <w:tcBorders>
              <w:top w:val="single" w:sz="4" w:space="0" w:color="auto"/>
              <w:left w:val="single" w:sz="4" w:space="0" w:color="auto"/>
              <w:bottom w:val="single" w:sz="4" w:space="0" w:color="auto"/>
              <w:right w:val="single" w:sz="4" w:space="0" w:color="auto"/>
            </w:tcBorders>
            <w:hideMark/>
          </w:tcPr>
          <w:p w14:paraId="726F25D9" w14:textId="77777777" w:rsidR="00B85E65" w:rsidRDefault="00B85E65" w:rsidP="00B85E65">
            <w:pPr>
              <w:pStyle w:val="o-Table"/>
            </w:pPr>
            <w:r>
              <w:t>Co</w:t>
            </w:r>
            <w:r>
              <w:rPr>
                <w:vertAlign w:val="subscript"/>
              </w:rPr>
              <w:t>3</w:t>
            </w:r>
            <w:r>
              <w:t>O</w:t>
            </w:r>
            <w:r>
              <w:rPr>
                <w:vertAlign w:val="subscript"/>
              </w:rPr>
              <w:t>4</w:t>
            </w:r>
            <w:r>
              <w:t>-ASP</w:t>
            </w:r>
          </w:p>
        </w:tc>
        <w:tc>
          <w:tcPr>
            <w:tcW w:w="1188" w:type="dxa"/>
            <w:tcBorders>
              <w:top w:val="single" w:sz="4" w:space="0" w:color="auto"/>
              <w:left w:val="single" w:sz="4" w:space="0" w:color="auto"/>
              <w:bottom w:val="single" w:sz="4" w:space="0" w:color="auto"/>
              <w:right w:val="single" w:sz="4" w:space="0" w:color="auto"/>
            </w:tcBorders>
            <w:hideMark/>
          </w:tcPr>
          <w:p w14:paraId="2D0BEE51" w14:textId="77777777" w:rsidR="00B85E65" w:rsidRDefault="00B85E65" w:rsidP="00B85E65">
            <w:pPr>
              <w:pStyle w:val="o-Table"/>
              <w:jc w:val="center"/>
            </w:pPr>
            <w:r>
              <w:t>0.13±0.05</w:t>
            </w:r>
          </w:p>
        </w:tc>
        <w:tc>
          <w:tcPr>
            <w:tcW w:w="1227" w:type="dxa"/>
            <w:tcBorders>
              <w:top w:val="single" w:sz="4" w:space="0" w:color="auto"/>
              <w:left w:val="single" w:sz="4" w:space="0" w:color="auto"/>
              <w:bottom w:val="single" w:sz="4" w:space="0" w:color="auto"/>
              <w:right w:val="single" w:sz="4" w:space="0" w:color="auto"/>
            </w:tcBorders>
            <w:hideMark/>
          </w:tcPr>
          <w:p w14:paraId="3DC27643" w14:textId="77777777" w:rsidR="00B85E65" w:rsidRDefault="00B85E65" w:rsidP="00B85E65">
            <w:pPr>
              <w:pStyle w:val="o-Table"/>
              <w:jc w:val="center"/>
            </w:pPr>
            <w:r>
              <w:t>0.87 ±0.05</w:t>
            </w:r>
          </w:p>
        </w:tc>
      </w:tr>
    </w:tbl>
    <w:p w14:paraId="7156CCE3" w14:textId="77777777" w:rsidR="00B85E65" w:rsidRDefault="00B85E65" w:rsidP="00B85E65">
      <w:pPr>
        <w:rPr>
          <w:lang w:val="en-GB"/>
        </w:rPr>
      </w:pPr>
    </w:p>
    <w:p w14:paraId="29FF240A" w14:textId="23AC31DA" w:rsidR="00B85E65" w:rsidRPr="00520D44" w:rsidRDefault="00B85E65" w:rsidP="00B85E65">
      <w:pPr>
        <w:rPr>
          <w:lang w:val="en-GB"/>
        </w:rPr>
      </w:pPr>
      <w:r>
        <w:rPr>
          <w:lang w:val="en-GB"/>
        </w:rPr>
        <w:t>These values were obtained as an average of ten different measurements on each specimen, with a standard deviation between measurements of 0.0011. The results obtained show that there is a slight variation in the absorption values according to the fuel used. These synthesized samples demonstrate their ability to be used in solar absorbing paints because their solar absorption values are close to 0.88-0.94. These values are measured for selective surfaces, synthesized from paints composed of Co</w:t>
      </w:r>
      <w:r>
        <w:rPr>
          <w:vertAlign w:val="subscript"/>
          <w:lang w:val="en-GB"/>
        </w:rPr>
        <w:t>3</w:t>
      </w:r>
      <w:r>
        <w:rPr>
          <w:lang w:val="en-GB"/>
        </w:rPr>
        <w:t>O</w:t>
      </w:r>
      <w:r>
        <w:rPr>
          <w:vertAlign w:val="subscript"/>
          <w:lang w:val="en-GB"/>
        </w:rPr>
        <w:t>4</w:t>
      </w:r>
      <w:r>
        <w:rPr>
          <w:lang w:val="en-GB"/>
        </w:rPr>
        <w:t xml:space="preserve"> pigments, applied on </w:t>
      </w:r>
      <w:r w:rsidR="00EA3B5F">
        <w:rPr>
          <w:lang w:val="en-GB"/>
        </w:rPr>
        <w:t>aluminium</w:t>
      </w:r>
      <w:r>
        <w:rPr>
          <w:lang w:val="en-GB"/>
        </w:rPr>
        <w:t xml:space="preserve"> sheets, in US patent 4310596 </w:t>
      </w:r>
      <w:r w:rsidRPr="001A0EF0">
        <w:rPr>
          <w:lang w:val="en-GB"/>
        </w:rPr>
        <w:t xml:space="preserve">[34]. </w:t>
      </w:r>
      <w:r w:rsidRPr="00520D44">
        <w:rPr>
          <w:lang w:val="en-GB"/>
        </w:rPr>
        <w:t xml:space="preserve">Additionally, </w:t>
      </w:r>
      <w:bookmarkStart w:id="4" w:name="_bookmark0"/>
      <w:bookmarkEnd w:id="4"/>
      <w:r>
        <w:rPr>
          <w:lang w:val="en-GB"/>
        </w:rPr>
        <w:t>t</w:t>
      </w:r>
      <w:r w:rsidRPr="00520D44">
        <w:rPr>
          <w:lang w:val="en-GB"/>
        </w:rPr>
        <w:t>he spinel copper chromite was doped with di</w:t>
      </w:r>
      <w:r w:rsidRPr="00520D44">
        <w:rPr>
          <w:lang w:val="es-AR"/>
        </w:rPr>
        <w:t>ﬀ</w:t>
      </w:r>
      <w:r w:rsidRPr="00520D44">
        <w:rPr>
          <w:lang w:val="en-GB"/>
        </w:rPr>
        <w:t>erent elements</w:t>
      </w:r>
      <w:r>
        <w:rPr>
          <w:lang w:val="en-GB"/>
        </w:rPr>
        <w:t xml:space="preserve"> </w:t>
      </w:r>
      <w:r w:rsidRPr="00520D44">
        <w:rPr>
          <w:lang w:val="en-GB"/>
        </w:rPr>
        <w:t>(Zn, Al, Sn, Ni, Co, and Mn) to improve the solar absorbance</w:t>
      </w:r>
      <w:r>
        <w:rPr>
          <w:lang w:val="en-GB"/>
        </w:rPr>
        <w:t xml:space="preserve"> and </w:t>
      </w:r>
      <w:r w:rsidRPr="00520D44">
        <w:rPr>
          <w:lang w:val="en-GB"/>
        </w:rPr>
        <w:t>a solar</w:t>
      </w:r>
      <w:r>
        <w:rPr>
          <w:lang w:val="en-GB"/>
        </w:rPr>
        <w:t xml:space="preserve"> </w:t>
      </w:r>
      <w:r w:rsidRPr="00520D44">
        <w:rPr>
          <w:lang w:val="en-GB"/>
        </w:rPr>
        <w:t xml:space="preserve">absorbance value of </w:t>
      </w:r>
      <w:r w:rsidRPr="009233D4">
        <w:rPr>
          <w:lang w:val="en-GB"/>
        </w:rPr>
        <w:t>0.98±0,05</w:t>
      </w:r>
      <w:r>
        <w:rPr>
          <w:lang w:val="en-GB"/>
        </w:rPr>
        <w:t xml:space="preserve"> was obtained for t</w:t>
      </w:r>
      <w:r w:rsidRPr="00520D44">
        <w:rPr>
          <w:lang w:val="en-GB"/>
        </w:rPr>
        <w:t>he pigment based on spinel CuCrMnO</w:t>
      </w:r>
      <w:r w:rsidRPr="001A0EF0">
        <w:rPr>
          <w:vertAlign w:val="subscript"/>
          <w:lang w:val="en-GB"/>
        </w:rPr>
        <w:t>4</w:t>
      </w:r>
      <w:r>
        <w:rPr>
          <w:lang w:val="en-GB"/>
        </w:rPr>
        <w:t xml:space="preserve"> </w:t>
      </w:r>
      <w:r w:rsidRPr="001A0EF0">
        <w:rPr>
          <w:lang w:val="en-GB"/>
        </w:rPr>
        <w:t>[33].</w:t>
      </w:r>
    </w:p>
    <w:p w14:paraId="3C166BF9" w14:textId="77777777" w:rsidR="00B85E65" w:rsidRPr="00B85E65" w:rsidRDefault="00B85E65" w:rsidP="00B85E65">
      <w:pPr>
        <w:rPr>
          <w:lang w:val="en-GB" w:eastAsia="es-AR"/>
        </w:rPr>
      </w:pPr>
      <w:r>
        <w:rPr>
          <w:lang w:val="en-GB" w:eastAsia="es-AR"/>
        </w:rPr>
        <w:t>Since both pigments resulted in high absorption values, Co</w:t>
      </w:r>
      <w:r>
        <w:rPr>
          <w:vertAlign w:val="subscript"/>
          <w:lang w:val="en-GB" w:eastAsia="es-AR"/>
        </w:rPr>
        <w:t>3</w:t>
      </w:r>
      <w:r>
        <w:rPr>
          <w:lang w:val="en-GB" w:eastAsia="es-AR"/>
        </w:rPr>
        <w:t>O</w:t>
      </w:r>
      <w:r>
        <w:rPr>
          <w:vertAlign w:val="subscript"/>
          <w:lang w:val="en-GB" w:eastAsia="es-AR"/>
        </w:rPr>
        <w:t>4</w:t>
      </w:r>
      <w:r>
        <w:rPr>
          <w:lang w:val="en-GB" w:eastAsia="es-AR"/>
        </w:rPr>
        <w:t xml:space="preserve">-ASP was selected. Table 3 shows the absorption values of both absorbent surfaces, where the Cu base paint (Paint-Cu) resulted with a spectral </w:t>
      </w:r>
      <w:r w:rsidRPr="001A0EF0">
        <w:rPr>
          <w:lang w:val="en-GB" w:eastAsia="es-AR"/>
        </w:rPr>
        <w:t>absorbance value of 96% slightly higher than that of the Al base paints</w:t>
      </w:r>
      <w:r w:rsidRPr="001A0EF0">
        <w:rPr>
          <w:lang w:val="en-GB"/>
        </w:rPr>
        <w:t xml:space="preserve"> (</w:t>
      </w:r>
      <w:r w:rsidRPr="001A0EF0">
        <w:rPr>
          <w:lang w:val="en-GB" w:eastAsia="es-AR"/>
        </w:rPr>
        <w:t>Paint-Al) with a value of 95%.</w:t>
      </w:r>
    </w:p>
    <w:p w14:paraId="43390F37" w14:textId="77777777" w:rsidR="00B85E65" w:rsidRDefault="00B85E65" w:rsidP="00B85E65">
      <w:pPr>
        <w:pStyle w:val="l-CaptionsTables"/>
        <w:rPr>
          <w:bCs/>
          <w:sz w:val="22"/>
          <w:lang w:val="en-GB"/>
        </w:rPr>
      </w:pPr>
      <w:r w:rsidRPr="00B85E65">
        <w:t xml:space="preserve">Table 3 </w:t>
      </w:r>
      <w:r w:rsidRPr="00B85E65">
        <w:rPr>
          <w:b w:val="0"/>
        </w:rPr>
        <w:t>Solar absorption and thickness of the paints applied on metal surfaces</w:t>
      </w:r>
    </w:p>
    <w:tbl>
      <w:tblPr>
        <w:tblW w:w="5245" w:type="dxa"/>
        <w:jc w:val="center"/>
        <w:tblCellMar>
          <w:left w:w="144" w:type="dxa"/>
          <w:right w:w="144" w:type="dxa"/>
        </w:tblCellMar>
        <w:tblLook w:val="04A0" w:firstRow="1" w:lastRow="0" w:firstColumn="1" w:lastColumn="0" w:noHBand="0" w:noVBand="1"/>
      </w:tblPr>
      <w:tblGrid>
        <w:gridCol w:w="1290"/>
        <w:gridCol w:w="1975"/>
        <w:gridCol w:w="1980"/>
      </w:tblGrid>
      <w:tr w:rsidR="00B85E65" w:rsidRPr="00B85E65" w14:paraId="7134061F" w14:textId="77777777" w:rsidTr="00B85E65">
        <w:trPr>
          <w:trHeight w:val="20"/>
          <w:jc w:val="center"/>
        </w:trPr>
        <w:tc>
          <w:tcPr>
            <w:tcW w:w="1290" w:type="dxa"/>
            <w:tcBorders>
              <w:top w:val="single" w:sz="8" w:space="0" w:color="auto"/>
              <w:left w:val="single" w:sz="8" w:space="0" w:color="auto"/>
              <w:bottom w:val="single" w:sz="4" w:space="0" w:color="auto"/>
              <w:right w:val="single" w:sz="4" w:space="0" w:color="auto"/>
            </w:tcBorders>
            <w:vAlign w:val="center"/>
            <w:hideMark/>
          </w:tcPr>
          <w:p w14:paraId="7F099010" w14:textId="77777777" w:rsidR="00B85E65" w:rsidRPr="00B85E65" w:rsidRDefault="00B85E65" w:rsidP="00B85E65">
            <w:pPr>
              <w:pStyle w:val="o-Table"/>
              <w:jc w:val="center"/>
              <w:rPr>
                <w:b/>
              </w:rPr>
            </w:pPr>
            <w:r w:rsidRPr="00B85E65">
              <w:rPr>
                <w:b/>
              </w:rPr>
              <w:t>Sample</w:t>
            </w:r>
          </w:p>
        </w:tc>
        <w:tc>
          <w:tcPr>
            <w:tcW w:w="1975" w:type="dxa"/>
            <w:tcBorders>
              <w:top w:val="single" w:sz="8" w:space="0" w:color="auto"/>
              <w:left w:val="nil"/>
              <w:bottom w:val="single" w:sz="4" w:space="0" w:color="auto"/>
              <w:right w:val="single" w:sz="4" w:space="0" w:color="auto"/>
            </w:tcBorders>
            <w:vAlign w:val="center"/>
            <w:hideMark/>
          </w:tcPr>
          <w:p w14:paraId="2CE8A2E9" w14:textId="77777777" w:rsidR="00B85E65" w:rsidRPr="00B85E65" w:rsidRDefault="00B85E65" w:rsidP="00B85E65">
            <w:pPr>
              <w:pStyle w:val="o-Table"/>
              <w:jc w:val="center"/>
              <w:rPr>
                <w:b/>
              </w:rPr>
            </w:pPr>
            <w:r w:rsidRPr="00B85E65">
              <w:rPr>
                <w:b/>
              </w:rPr>
              <w:t>Solar Absorbance</w:t>
            </w:r>
          </w:p>
          <w:p w14:paraId="73BE8A1A" w14:textId="77777777" w:rsidR="00B85E65" w:rsidRPr="00B85E65" w:rsidRDefault="00B85E65" w:rsidP="00B85E65">
            <w:pPr>
              <w:pStyle w:val="o-Table"/>
              <w:jc w:val="center"/>
              <w:rPr>
                <w:b/>
                <w:vertAlign w:val="subscript"/>
              </w:rPr>
            </w:pPr>
            <w:r w:rsidRPr="00B85E65">
              <w:rPr>
                <w:rFonts w:ascii="Symbol" w:hAnsi="Symbol"/>
                <w:b/>
              </w:rPr>
              <w:t></w:t>
            </w:r>
            <w:r w:rsidRPr="00B85E65">
              <w:rPr>
                <w:b/>
                <w:vertAlign w:val="subscript"/>
              </w:rPr>
              <w:t xml:space="preserve">s </w:t>
            </w:r>
            <w:r w:rsidRPr="00B85E65">
              <w:rPr>
                <w:b/>
              </w:rPr>
              <w:t>(%)</w:t>
            </w:r>
          </w:p>
        </w:tc>
        <w:tc>
          <w:tcPr>
            <w:tcW w:w="1980" w:type="dxa"/>
            <w:tcBorders>
              <w:top w:val="single" w:sz="8" w:space="0" w:color="auto"/>
              <w:left w:val="nil"/>
              <w:bottom w:val="single" w:sz="4" w:space="0" w:color="auto"/>
              <w:right w:val="single" w:sz="8" w:space="0" w:color="auto"/>
            </w:tcBorders>
            <w:vAlign w:val="center"/>
            <w:hideMark/>
          </w:tcPr>
          <w:p w14:paraId="6FC4EFE5" w14:textId="77777777" w:rsidR="00B85E65" w:rsidRPr="00B85E65" w:rsidRDefault="00B85E65" w:rsidP="00B85E65">
            <w:pPr>
              <w:pStyle w:val="o-Table"/>
              <w:jc w:val="center"/>
              <w:rPr>
                <w:b/>
              </w:rPr>
            </w:pPr>
            <w:r w:rsidRPr="00B85E65">
              <w:rPr>
                <w:b/>
              </w:rPr>
              <w:t>Average thickness (</w:t>
            </w:r>
            <w:r w:rsidRPr="00B85E65">
              <w:rPr>
                <w:rFonts w:ascii="Symbol" w:hAnsi="Symbol"/>
                <w:b/>
              </w:rPr>
              <w:t></w:t>
            </w:r>
            <w:r w:rsidRPr="00B85E65">
              <w:rPr>
                <w:b/>
              </w:rPr>
              <w:t>m)</w:t>
            </w:r>
          </w:p>
        </w:tc>
      </w:tr>
      <w:tr w:rsidR="00B85E65" w:rsidRPr="00520D44" w14:paraId="396C610C" w14:textId="77777777" w:rsidTr="00B85E65">
        <w:trPr>
          <w:trHeight w:val="20"/>
          <w:jc w:val="center"/>
        </w:trPr>
        <w:tc>
          <w:tcPr>
            <w:tcW w:w="1290" w:type="dxa"/>
            <w:tcBorders>
              <w:top w:val="nil"/>
              <w:left w:val="single" w:sz="8" w:space="0" w:color="auto"/>
              <w:bottom w:val="single" w:sz="4" w:space="0" w:color="auto"/>
              <w:right w:val="single" w:sz="4" w:space="0" w:color="auto"/>
            </w:tcBorders>
            <w:vAlign w:val="center"/>
            <w:hideMark/>
          </w:tcPr>
          <w:p w14:paraId="73DBBCAF" w14:textId="77777777" w:rsidR="00B85E65" w:rsidRPr="00520D44" w:rsidRDefault="00B85E65" w:rsidP="00B85E65">
            <w:pPr>
              <w:pStyle w:val="o-Table"/>
              <w:jc w:val="center"/>
            </w:pPr>
            <w:r w:rsidRPr="00520D44">
              <w:t>Paint-Cu</w:t>
            </w:r>
          </w:p>
        </w:tc>
        <w:tc>
          <w:tcPr>
            <w:tcW w:w="1975" w:type="dxa"/>
            <w:tcBorders>
              <w:top w:val="nil"/>
              <w:left w:val="nil"/>
              <w:bottom w:val="single" w:sz="4" w:space="0" w:color="auto"/>
              <w:right w:val="single" w:sz="4" w:space="0" w:color="auto"/>
            </w:tcBorders>
            <w:vAlign w:val="center"/>
            <w:hideMark/>
          </w:tcPr>
          <w:p w14:paraId="4FE2754B" w14:textId="77777777" w:rsidR="00B85E65" w:rsidRPr="00520D44" w:rsidRDefault="00B85E65" w:rsidP="00B85E65">
            <w:pPr>
              <w:pStyle w:val="o-Table"/>
              <w:jc w:val="center"/>
            </w:pPr>
            <w:r w:rsidRPr="00520D44">
              <w:t>96 ±0.5</w:t>
            </w:r>
          </w:p>
        </w:tc>
        <w:tc>
          <w:tcPr>
            <w:tcW w:w="1980" w:type="dxa"/>
            <w:tcBorders>
              <w:top w:val="nil"/>
              <w:left w:val="nil"/>
              <w:bottom w:val="single" w:sz="4" w:space="0" w:color="auto"/>
              <w:right w:val="single" w:sz="8" w:space="0" w:color="auto"/>
            </w:tcBorders>
            <w:vAlign w:val="center"/>
            <w:hideMark/>
          </w:tcPr>
          <w:p w14:paraId="3DBA917E" w14:textId="77777777" w:rsidR="00B85E65" w:rsidRPr="00520D44" w:rsidRDefault="00B85E65" w:rsidP="00B85E65">
            <w:pPr>
              <w:pStyle w:val="o-Table"/>
              <w:jc w:val="center"/>
            </w:pPr>
            <w:r w:rsidRPr="00520D44">
              <w:t>33 ± 1</w:t>
            </w:r>
          </w:p>
        </w:tc>
      </w:tr>
      <w:tr w:rsidR="00B85E65" w14:paraId="1C97E99C" w14:textId="77777777" w:rsidTr="00B85E65">
        <w:trPr>
          <w:trHeight w:val="20"/>
          <w:jc w:val="center"/>
        </w:trPr>
        <w:tc>
          <w:tcPr>
            <w:tcW w:w="1290" w:type="dxa"/>
            <w:tcBorders>
              <w:top w:val="nil"/>
              <w:left w:val="single" w:sz="8" w:space="0" w:color="auto"/>
              <w:bottom w:val="single" w:sz="8" w:space="0" w:color="auto"/>
              <w:right w:val="single" w:sz="4" w:space="0" w:color="auto"/>
            </w:tcBorders>
            <w:vAlign w:val="center"/>
            <w:hideMark/>
          </w:tcPr>
          <w:p w14:paraId="0DD3CDC6" w14:textId="77777777" w:rsidR="00B85E65" w:rsidRPr="00520D44" w:rsidRDefault="00B85E65" w:rsidP="00B85E65">
            <w:pPr>
              <w:pStyle w:val="o-Table"/>
              <w:jc w:val="center"/>
            </w:pPr>
            <w:r w:rsidRPr="00520D44">
              <w:t>Paint-Al</w:t>
            </w:r>
          </w:p>
        </w:tc>
        <w:tc>
          <w:tcPr>
            <w:tcW w:w="1975" w:type="dxa"/>
            <w:tcBorders>
              <w:top w:val="nil"/>
              <w:left w:val="nil"/>
              <w:bottom w:val="single" w:sz="8" w:space="0" w:color="auto"/>
              <w:right w:val="single" w:sz="4" w:space="0" w:color="auto"/>
            </w:tcBorders>
            <w:vAlign w:val="center"/>
            <w:hideMark/>
          </w:tcPr>
          <w:p w14:paraId="1189D231" w14:textId="77777777" w:rsidR="00B85E65" w:rsidRPr="00520D44" w:rsidRDefault="00B85E65" w:rsidP="00B85E65">
            <w:pPr>
              <w:pStyle w:val="o-Table"/>
              <w:jc w:val="center"/>
            </w:pPr>
            <w:r w:rsidRPr="00520D44">
              <w:t>95±0.5</w:t>
            </w:r>
          </w:p>
        </w:tc>
        <w:tc>
          <w:tcPr>
            <w:tcW w:w="1980" w:type="dxa"/>
            <w:tcBorders>
              <w:top w:val="nil"/>
              <w:left w:val="nil"/>
              <w:bottom w:val="single" w:sz="8" w:space="0" w:color="auto"/>
              <w:right w:val="single" w:sz="8" w:space="0" w:color="auto"/>
            </w:tcBorders>
            <w:vAlign w:val="center"/>
            <w:hideMark/>
          </w:tcPr>
          <w:p w14:paraId="6F514A2F" w14:textId="77777777" w:rsidR="00B85E65" w:rsidRDefault="00B85E65" w:rsidP="00B85E65">
            <w:pPr>
              <w:pStyle w:val="o-Table"/>
              <w:jc w:val="center"/>
            </w:pPr>
            <w:r w:rsidRPr="00520D44">
              <w:t>31 ± 1</w:t>
            </w:r>
          </w:p>
        </w:tc>
      </w:tr>
    </w:tbl>
    <w:p w14:paraId="0AE9B4F5" w14:textId="77777777" w:rsidR="00B85E65" w:rsidRDefault="00B85E65" w:rsidP="00B85E65">
      <w:pPr>
        <w:rPr>
          <w:lang w:val="en-GB"/>
        </w:rPr>
      </w:pPr>
    </w:p>
    <w:p w14:paraId="42CFBFB8" w14:textId="77777777" w:rsidR="00B85E65" w:rsidRDefault="00B85E65" w:rsidP="00B85E65">
      <w:pPr>
        <w:rPr>
          <w:lang w:val="en-GB"/>
        </w:rPr>
      </w:pPr>
      <w:r>
        <w:rPr>
          <w:lang w:val="en-GB"/>
        </w:rPr>
        <w:t xml:space="preserve">This difference could be due to the difference in thickness observed in the Cu base paint of greater than approx. </w:t>
      </w:r>
      <w:r w:rsidRPr="001A0EF0">
        <w:rPr>
          <w:lang w:val="en-GB"/>
        </w:rPr>
        <w:t xml:space="preserve">33 </w:t>
      </w:r>
      <w:r w:rsidRPr="001A0EF0">
        <w:rPr>
          <w:rFonts w:ascii="Symbol" w:hAnsi="Symbol"/>
          <w:lang w:val="en-GB"/>
        </w:rPr>
        <w:t></w:t>
      </w:r>
      <w:r w:rsidRPr="001A0EF0">
        <w:rPr>
          <w:lang w:val="en-GB"/>
        </w:rPr>
        <w:t xml:space="preserve">m slightly larger than the other painting, 31 </w:t>
      </w:r>
      <w:r w:rsidRPr="001A0EF0">
        <w:rPr>
          <w:rFonts w:ascii="Symbol" w:hAnsi="Symbol"/>
          <w:lang w:val="en-GB"/>
        </w:rPr>
        <w:t></w:t>
      </w:r>
      <w:r w:rsidRPr="001A0EF0">
        <w:rPr>
          <w:lang w:val="en-GB"/>
        </w:rPr>
        <w:t>m.</w:t>
      </w:r>
      <w:r>
        <w:rPr>
          <w:lang w:val="en-GB"/>
        </w:rPr>
        <w:t xml:space="preserve"> </w:t>
      </w:r>
      <w:r w:rsidRPr="001A0EF0">
        <w:rPr>
          <w:lang w:val="en-GB"/>
        </w:rPr>
        <w:t>Figure 10 shows the spectral absorbance of the painted surfaces between wavelengths of 250 to 2500 nm. In addition, it is observed that the curve of the Cu base paint (Paint-Cu) presents higher absorbance values compar</w:t>
      </w:r>
      <w:r>
        <w:rPr>
          <w:lang w:val="en-GB"/>
        </w:rPr>
        <w:t>ed to the base paint Al (Paint-Al). In other words, the use of metallic Cu powder in the formulation of the paint significantly increases the solar absorbance compared to metallic aluminum.</w:t>
      </w:r>
    </w:p>
    <w:p w14:paraId="36FACFD5" w14:textId="77777777" w:rsidR="00B85E65" w:rsidRDefault="00B85E65" w:rsidP="00B85E65">
      <w:pPr>
        <w:rPr>
          <w:lang w:val="en-GB"/>
        </w:rPr>
      </w:pPr>
      <w:r>
        <w:rPr>
          <w:lang w:val="en-GB"/>
        </w:rPr>
        <w:t>Selective surfaces formed by polymeric coatings with acrylic resin and Co</w:t>
      </w:r>
      <w:r>
        <w:rPr>
          <w:vertAlign w:val="subscript"/>
          <w:lang w:val="en-GB"/>
        </w:rPr>
        <w:t>3</w:t>
      </w:r>
      <w:r>
        <w:rPr>
          <w:lang w:val="en-GB"/>
        </w:rPr>
        <w:t>O</w:t>
      </w:r>
      <w:r>
        <w:rPr>
          <w:vertAlign w:val="subscript"/>
          <w:lang w:val="en-GB"/>
        </w:rPr>
        <w:t>4</w:t>
      </w:r>
      <w:r>
        <w:rPr>
          <w:lang w:val="en-GB"/>
        </w:rPr>
        <w:t xml:space="preserve"> pigments on a fine metallic aluminum substrate showed a solar absorbance of 94% and a film thickness of 7 mm obtained by spin-coating techniques </w:t>
      </w:r>
      <w:r w:rsidRPr="001A0EF0">
        <w:rPr>
          <w:lang w:val="en-GB"/>
        </w:rPr>
        <w:t>[34].</w:t>
      </w:r>
      <w:r>
        <w:rPr>
          <w:lang w:val="en-GB"/>
        </w:rPr>
        <w:t xml:space="preserve"> </w:t>
      </w:r>
      <w:r w:rsidRPr="00ED2BE2">
        <w:rPr>
          <w:lang w:val="en-GB"/>
        </w:rPr>
        <w:t>The coating layers consist</w:t>
      </w:r>
      <w:r>
        <w:rPr>
          <w:lang w:val="en-GB"/>
        </w:rPr>
        <w:t xml:space="preserve"> </w:t>
      </w:r>
      <w:r w:rsidRPr="00ED2BE2">
        <w:rPr>
          <w:lang w:val="en-GB"/>
        </w:rPr>
        <w:t>of or includes cobalt oxide nanopowders</w:t>
      </w:r>
      <w:r>
        <w:rPr>
          <w:lang w:val="en-GB"/>
        </w:rPr>
        <w:t xml:space="preserve"> (CoO and Co</w:t>
      </w:r>
      <w:r w:rsidRPr="001A0EF0">
        <w:rPr>
          <w:vertAlign w:val="subscript"/>
          <w:lang w:val="en-GB"/>
        </w:rPr>
        <w:t>3</w:t>
      </w:r>
      <w:r>
        <w:rPr>
          <w:lang w:val="en-GB"/>
        </w:rPr>
        <w:t>O</w:t>
      </w:r>
      <w:r w:rsidRPr="001A0EF0">
        <w:rPr>
          <w:vertAlign w:val="subscript"/>
          <w:lang w:val="en-GB"/>
        </w:rPr>
        <w:t>4</w:t>
      </w:r>
      <w:r>
        <w:rPr>
          <w:lang w:val="en-GB"/>
        </w:rPr>
        <w:t>) were</w:t>
      </w:r>
      <w:r w:rsidRPr="00ED2BE2">
        <w:rPr>
          <w:lang w:val="en-GB"/>
        </w:rPr>
        <w:t xml:space="preserve"> dispersed in silica</w:t>
      </w:r>
      <w:r>
        <w:rPr>
          <w:lang w:val="en-GB"/>
        </w:rPr>
        <w:t xml:space="preserve"> </w:t>
      </w:r>
      <w:r w:rsidRPr="00ED2BE2">
        <w:rPr>
          <w:lang w:val="en-GB"/>
        </w:rPr>
        <w:t xml:space="preserve">matrix, and deposited on metal </w:t>
      </w:r>
      <w:r>
        <w:rPr>
          <w:lang w:val="en-GB"/>
        </w:rPr>
        <w:t>s</w:t>
      </w:r>
      <w:r w:rsidRPr="00ED2BE2">
        <w:rPr>
          <w:lang w:val="en-GB"/>
        </w:rPr>
        <w:t>ubstrates via a simple</w:t>
      </w:r>
      <w:r>
        <w:rPr>
          <w:lang w:val="en-GB"/>
        </w:rPr>
        <w:t xml:space="preserve"> </w:t>
      </w:r>
      <w:r w:rsidRPr="00ED2BE2">
        <w:rPr>
          <w:lang w:val="en-GB"/>
        </w:rPr>
        <w:t xml:space="preserve">and </w:t>
      </w:r>
      <w:r>
        <w:rPr>
          <w:lang w:val="en-GB"/>
        </w:rPr>
        <w:t>s</w:t>
      </w:r>
      <w:r w:rsidRPr="00ED2BE2">
        <w:rPr>
          <w:lang w:val="en-GB"/>
        </w:rPr>
        <w:t>calable spray coating process, which is compatible with</w:t>
      </w:r>
      <w:r>
        <w:rPr>
          <w:lang w:val="en-GB"/>
        </w:rPr>
        <w:t xml:space="preserve"> </w:t>
      </w:r>
      <w:r w:rsidRPr="00ED2BE2">
        <w:rPr>
          <w:lang w:val="en-GB"/>
        </w:rPr>
        <w:t>CSP applications. Finally, the developed coating layer exhibited unprecedented high-temperature durability, showing no degradation in structural or optical</w:t>
      </w:r>
      <w:r>
        <w:rPr>
          <w:lang w:val="en-GB"/>
        </w:rPr>
        <w:t xml:space="preserve">, FOM (Figures of merits) between 0,85 and 0,89 were obtained </w:t>
      </w:r>
      <w:r w:rsidRPr="007C2107">
        <w:rPr>
          <w:lang w:val="en-GB"/>
        </w:rPr>
        <w:t>[35].</w:t>
      </w:r>
    </w:p>
    <w:p w14:paraId="4F03FDFD" w14:textId="786BEFCB" w:rsidR="00735843" w:rsidRPr="00B85E65" w:rsidRDefault="00735843" w:rsidP="00735843">
      <w:pPr>
        <w:rPr>
          <w:b/>
          <w:bCs/>
          <w:sz w:val="22"/>
          <w:lang w:val="en-GB"/>
        </w:rPr>
      </w:pPr>
      <w:r>
        <w:rPr>
          <w:lang w:val="en-GB"/>
        </w:rPr>
        <w:t>The high solar absorption of paints based on Co</w:t>
      </w:r>
      <w:r w:rsidRPr="00AC12B0">
        <w:rPr>
          <w:vertAlign w:val="subscript"/>
          <w:lang w:val="en-GB"/>
        </w:rPr>
        <w:t>3</w:t>
      </w:r>
      <w:r>
        <w:rPr>
          <w:lang w:val="en-GB"/>
        </w:rPr>
        <w:t>O</w:t>
      </w:r>
      <w:r w:rsidRPr="00AC12B0">
        <w:rPr>
          <w:vertAlign w:val="subscript"/>
          <w:lang w:val="en-GB"/>
        </w:rPr>
        <w:t>4</w:t>
      </w:r>
      <w:r>
        <w:rPr>
          <w:lang w:val="en-GB"/>
        </w:rPr>
        <w:t xml:space="preserve"> obtained in this research are important </w:t>
      </w:r>
      <w:r w:rsidR="00EA3B5F">
        <w:rPr>
          <w:lang w:val="en-GB"/>
        </w:rPr>
        <w:t>evidences</w:t>
      </w:r>
      <w:r>
        <w:rPr>
          <w:lang w:val="en-GB"/>
        </w:rPr>
        <w:t xml:space="preserve"> for its </w:t>
      </w:r>
      <w:r w:rsidR="00EA3B5F">
        <w:rPr>
          <w:lang w:val="en-GB"/>
        </w:rPr>
        <w:t>ability</w:t>
      </w:r>
      <w:r>
        <w:rPr>
          <w:lang w:val="en-GB"/>
        </w:rPr>
        <w:t xml:space="preserve"> to improve energy </w:t>
      </w:r>
      <w:r w:rsidR="00EA3B5F">
        <w:rPr>
          <w:lang w:val="en-GB"/>
        </w:rPr>
        <w:t>efficiency</w:t>
      </w:r>
      <w:r>
        <w:rPr>
          <w:lang w:val="en-GB"/>
        </w:rPr>
        <w:t xml:space="preserve"> of low temperature solar collectors additionally in accord with recently published </w:t>
      </w:r>
      <w:r w:rsidR="00EA3B5F">
        <w:rPr>
          <w:lang w:val="en-GB"/>
        </w:rPr>
        <w:t>patents</w:t>
      </w:r>
      <w:r>
        <w:rPr>
          <w:lang w:val="en-GB"/>
        </w:rPr>
        <w:t xml:space="preserve"> </w:t>
      </w:r>
      <w:r w:rsidRPr="007C2107">
        <w:rPr>
          <w:lang w:val="en-GB"/>
        </w:rPr>
        <w:t>[35].</w:t>
      </w:r>
      <w:r>
        <w:rPr>
          <w:lang w:val="en-GB"/>
        </w:rPr>
        <w:t xml:space="preserve"> Co</w:t>
      </w:r>
      <w:r w:rsidRPr="00AC12B0">
        <w:rPr>
          <w:vertAlign w:val="subscript"/>
          <w:lang w:val="en-GB"/>
        </w:rPr>
        <w:t>3</w:t>
      </w:r>
      <w:r>
        <w:rPr>
          <w:lang w:val="en-GB"/>
        </w:rPr>
        <w:t>O</w:t>
      </w:r>
      <w:r w:rsidRPr="00AC12B0">
        <w:rPr>
          <w:vertAlign w:val="subscript"/>
          <w:lang w:val="en-GB"/>
        </w:rPr>
        <w:t>4</w:t>
      </w:r>
      <w:r>
        <w:rPr>
          <w:lang w:val="en-GB"/>
        </w:rPr>
        <w:t xml:space="preserve"> pigments can be part of the receiver coating in the next generation </w:t>
      </w:r>
      <w:bookmarkStart w:id="5" w:name="_Hlk73613665"/>
      <w:r>
        <w:rPr>
          <w:lang w:val="en-GB"/>
        </w:rPr>
        <w:t>CSP (concentrating solar power</w:t>
      </w:r>
      <w:bookmarkEnd w:id="5"/>
      <w:r>
        <w:rPr>
          <w:lang w:val="en-GB"/>
        </w:rPr>
        <w:t>) systems should possess not only high thermal efficiency but also high temperature stability because of the anticipated trend of higher operating temperature (above 700-750 °C). Co</w:t>
      </w:r>
      <w:r w:rsidRPr="00AC12B0">
        <w:rPr>
          <w:vertAlign w:val="subscript"/>
          <w:lang w:val="en-GB"/>
        </w:rPr>
        <w:t>3</w:t>
      </w:r>
      <w:r>
        <w:rPr>
          <w:lang w:val="en-GB"/>
        </w:rPr>
        <w:t>O</w:t>
      </w:r>
      <w:r w:rsidRPr="00AC12B0">
        <w:rPr>
          <w:vertAlign w:val="subscript"/>
          <w:lang w:val="en-GB"/>
        </w:rPr>
        <w:t>4</w:t>
      </w:r>
      <w:r>
        <w:rPr>
          <w:lang w:val="en-GB"/>
        </w:rPr>
        <w:t xml:space="preserve"> black oxide (incorporated in light absorbing coating) is a promising solar absorption candidate material for 750 °C in </w:t>
      </w:r>
      <w:r w:rsidRPr="001004AB">
        <w:rPr>
          <w:lang w:val="en-GB"/>
        </w:rPr>
        <w:t>CSP operating environment.</w:t>
      </w:r>
    </w:p>
    <w:p w14:paraId="6733A40E" w14:textId="77777777" w:rsidR="00735843" w:rsidRDefault="00735843" w:rsidP="00B85E65">
      <w:pPr>
        <w:rPr>
          <w:lang w:val="en-GB"/>
        </w:rPr>
      </w:pPr>
    </w:p>
    <w:p w14:paraId="4329A26C" w14:textId="77777777" w:rsidR="00B85E65" w:rsidRDefault="00B85E65" w:rsidP="00B85E65">
      <w:pPr>
        <w:jc w:val="center"/>
        <w:rPr>
          <w:b/>
          <w:bCs/>
          <w:sz w:val="22"/>
          <w:lang w:val="en-GB"/>
        </w:rPr>
      </w:pPr>
      <w:r>
        <w:rPr>
          <w:b/>
          <w:bCs/>
          <w:noProof/>
          <w:sz w:val="22"/>
          <w:lang w:val="es-ES" w:eastAsia="es-ES"/>
        </w:rPr>
        <w:lastRenderedPageBreak/>
        <w:drawing>
          <wp:inline distT="0" distB="0" distL="0" distR="0" wp14:anchorId="3F8806C3" wp14:editId="60784F10">
            <wp:extent cx="3947465" cy="271139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4077" cy="2715937"/>
                    </a:xfrm>
                    <a:prstGeom prst="rect">
                      <a:avLst/>
                    </a:prstGeom>
                    <a:noFill/>
                  </pic:spPr>
                </pic:pic>
              </a:graphicData>
            </a:graphic>
          </wp:inline>
        </w:drawing>
      </w:r>
    </w:p>
    <w:p w14:paraId="2F48F44F" w14:textId="77777777" w:rsidR="00B85E65" w:rsidRPr="00B85E65" w:rsidRDefault="00B85E65" w:rsidP="00B85E65">
      <w:pPr>
        <w:pStyle w:val="k-CaptionFigure"/>
        <w:rPr>
          <w:b w:val="0"/>
        </w:rPr>
      </w:pPr>
      <w:r>
        <w:t xml:space="preserve">Figure 10 </w:t>
      </w:r>
      <w:r w:rsidRPr="00B85E65">
        <w:rPr>
          <w:b w:val="0"/>
        </w:rPr>
        <w:t>Spectral Absorptance (%) of painted surfaces</w:t>
      </w:r>
    </w:p>
    <w:p w14:paraId="1CD143D5" w14:textId="77777777" w:rsidR="00D216E8" w:rsidRPr="001C5679" w:rsidRDefault="00D216E8" w:rsidP="00E74EEE">
      <w:pPr>
        <w:pStyle w:val="Ttulo1"/>
      </w:pPr>
      <w:r w:rsidRPr="001C5679">
        <w:t>Conclusion</w:t>
      </w:r>
    </w:p>
    <w:p w14:paraId="232400A5" w14:textId="77777777" w:rsidR="00B85E65" w:rsidRDefault="00B85E65" w:rsidP="00B85E65">
      <w:pPr>
        <w:rPr>
          <w:lang w:val="en-GB"/>
        </w:rPr>
      </w:pPr>
      <w:r w:rsidRPr="005C48F5">
        <w:rPr>
          <w:lang w:val="en-GB"/>
        </w:rPr>
        <w:t>By solution combustion syntheses, it is possible to obtain nanoparticles with homogenous crystalline structure by a one step, simple route. Co</w:t>
      </w:r>
      <w:r w:rsidRPr="005C48F5">
        <w:rPr>
          <w:vertAlign w:val="subscript"/>
          <w:lang w:val="en-GB"/>
        </w:rPr>
        <w:t>3</w:t>
      </w:r>
      <w:r w:rsidRPr="005C48F5">
        <w:rPr>
          <w:lang w:val="en-GB"/>
        </w:rPr>
        <w:t>O</w:t>
      </w:r>
      <w:r w:rsidRPr="005C48F5">
        <w:rPr>
          <w:vertAlign w:val="subscript"/>
          <w:lang w:val="en-GB"/>
        </w:rPr>
        <w:t>4</w:t>
      </w:r>
      <w:r w:rsidRPr="005C48F5">
        <w:rPr>
          <w:lang w:val="en-GB"/>
        </w:rPr>
        <w:t xml:space="preserve"> powders were obtained using four fuels for which an average particle size of 50 nm was obtained in a polyhedral shape. The optical properties of the Co</w:t>
      </w:r>
      <w:r w:rsidRPr="005C48F5">
        <w:rPr>
          <w:vertAlign w:val="subscript"/>
          <w:lang w:val="en-GB"/>
        </w:rPr>
        <w:t>3</w:t>
      </w:r>
      <w:r w:rsidRPr="005C48F5">
        <w:rPr>
          <w:lang w:val="en-GB"/>
        </w:rPr>
        <w:t>O</w:t>
      </w:r>
      <w:r w:rsidRPr="005C48F5">
        <w:rPr>
          <w:vertAlign w:val="subscript"/>
          <w:lang w:val="en-GB"/>
        </w:rPr>
        <w:t>4</w:t>
      </w:r>
      <w:r w:rsidRPr="005C48F5">
        <w:rPr>
          <w:lang w:val="en-GB"/>
        </w:rPr>
        <w:t xml:space="preserve"> powders in a quartz cuvette were determined and the results obtained do not show a determining variation when the fuel is changed.</w:t>
      </w:r>
    </w:p>
    <w:p w14:paraId="3739919C" w14:textId="77777777" w:rsidR="00565E52" w:rsidRPr="001C5679" w:rsidRDefault="00B85E65" w:rsidP="00B85E65">
      <w:r w:rsidRPr="005C48F5">
        <w:rPr>
          <w:lang w:val="en-GB"/>
        </w:rPr>
        <w:t>On the other hand, the high cost and environmental impact associated with thermoelectric energy motivated the development of materials that improve the performance of water heaters, refrigerators and other solar devices. Even more so in areas far from basic services where the incorporation of devices for alternative energy can improve the quality of life of the inhabitants. Hence the circular economy is an economic concept that is interrelated with sustainability, and whose objective is that the value of products, materials and resources such as energy is maintained in the economy for as long as possible, and that it is reduced the generation of waste to a minimum. It is about implementing a new, circular -not linear- economy, based on the principle of "closing the life cycle" of products, services, waste, materials and energy.</w:t>
      </w:r>
      <w:r w:rsidR="00565E52" w:rsidRPr="001C5679">
        <w:t xml:space="preserve"> </w:t>
      </w:r>
    </w:p>
    <w:p w14:paraId="3693D514" w14:textId="77777777" w:rsidR="007B50EF" w:rsidRPr="001C5679" w:rsidRDefault="007B50EF" w:rsidP="007B50EF">
      <w:pPr>
        <w:pStyle w:val="m-GeneralHeading1"/>
      </w:pPr>
      <w:r w:rsidRPr="001C5679">
        <w:t xml:space="preserve">Compliance with </w:t>
      </w:r>
      <w:r w:rsidR="003C6513" w:rsidRPr="001C5679">
        <w:t>e</w:t>
      </w:r>
      <w:r w:rsidRPr="001C5679">
        <w:t xml:space="preserve">thical </w:t>
      </w:r>
      <w:r w:rsidR="003C6513" w:rsidRPr="001C5679">
        <w:t>s</w:t>
      </w:r>
      <w:r w:rsidRPr="001C5679">
        <w:t>tandards</w:t>
      </w:r>
    </w:p>
    <w:p w14:paraId="60623E13" w14:textId="77777777" w:rsidR="008A59B2" w:rsidRPr="001C5679" w:rsidRDefault="008A59B2" w:rsidP="000A1760">
      <w:pPr>
        <w:pStyle w:val="n-generalsubheadings"/>
      </w:pPr>
      <w:r w:rsidRPr="001C5679">
        <w:t>Acknowledgments</w:t>
      </w:r>
    </w:p>
    <w:p w14:paraId="33F448A1" w14:textId="77777777" w:rsidR="008A59B2" w:rsidRPr="001C5679" w:rsidRDefault="00B85E65" w:rsidP="00B85E65">
      <w:r w:rsidRPr="00980FEF">
        <w:rPr>
          <w:lang w:val="en-GB"/>
        </w:rPr>
        <w:t>The authors thank Cintia Quiroga from INTI-Procesos Superficiales, Buenos Aires (Argentina) for the measurements of the optical properties of pigments and paints, and Mateo Paez from CIDEPINT, La Plata, (Argentina) for the formulation of absorbent paints.</w:t>
      </w:r>
    </w:p>
    <w:p w14:paraId="3D930747" w14:textId="77777777" w:rsidR="000A1760" w:rsidRPr="001C5679" w:rsidRDefault="007B50EF" w:rsidP="000A1760">
      <w:pPr>
        <w:pStyle w:val="n-generalsubheadings"/>
      </w:pPr>
      <w:r w:rsidRPr="001C5679">
        <w:t>Disclosure of conflict of interest</w:t>
      </w:r>
    </w:p>
    <w:p w14:paraId="4C8B10E0" w14:textId="77777777" w:rsidR="000A1760" w:rsidRDefault="00F0456A" w:rsidP="00F0456A">
      <w:r w:rsidRPr="00FB6A1E">
        <w:rPr>
          <w:lang w:eastAsia="es-AR"/>
        </w:rPr>
        <w:t>The authors have no conflict of interest in this research study.</w:t>
      </w:r>
    </w:p>
    <w:p w14:paraId="0E13324D" w14:textId="77777777" w:rsidR="008A59B2" w:rsidRPr="001C5679" w:rsidRDefault="008A59B2" w:rsidP="00E74EEE">
      <w:pPr>
        <w:pStyle w:val="m-GeneralHeading1"/>
      </w:pPr>
      <w:r w:rsidRPr="001C5679">
        <w:t>References</w:t>
      </w:r>
    </w:p>
    <w:p w14:paraId="117D6E0C" w14:textId="053B02AD" w:rsidR="00B85E65" w:rsidRPr="00F0456A" w:rsidRDefault="00EA3B5F" w:rsidP="00F0456A">
      <w:pPr>
        <w:pStyle w:val="q-References"/>
      </w:pPr>
      <w:r w:rsidRPr="00EA3B5F">
        <w:t>Hoeven</w:t>
      </w:r>
      <w:r w:rsidR="007604F5">
        <w:t xml:space="preserve">, </w:t>
      </w:r>
      <w:r w:rsidR="007604F5" w:rsidRPr="00EA3B5F">
        <w:t>M</w:t>
      </w:r>
      <w:r w:rsidR="007604F5">
        <w:t xml:space="preserve">. </w:t>
      </w:r>
      <w:r w:rsidR="00F0456A">
        <w:t>International Energy Agency.</w:t>
      </w:r>
      <w:r w:rsidR="00B85E65" w:rsidRPr="00F0456A">
        <w:t xml:space="preserve"> World energy outlook</w:t>
      </w:r>
      <w:r w:rsidR="00F0456A">
        <w:t>.</w:t>
      </w:r>
      <w:r w:rsidR="00B85E65" w:rsidRPr="00F0456A">
        <w:t xml:space="preserve"> 2012. </w:t>
      </w:r>
    </w:p>
    <w:p w14:paraId="13F36D12" w14:textId="77777777" w:rsidR="00B85E65" w:rsidRPr="00F0456A" w:rsidRDefault="00F0456A" w:rsidP="00F0456A">
      <w:pPr>
        <w:pStyle w:val="q-References"/>
      </w:pPr>
      <w:r>
        <w:t>Mehdi J,</w:t>
      </w:r>
      <w:r w:rsidR="00B85E65" w:rsidRPr="00F0456A">
        <w:t xml:space="preserve"> Youssef BS. Output, renewable and non-renewable energy consumption and international trade: Evidence from a panel of</w:t>
      </w:r>
      <w:r>
        <w:t xml:space="preserve"> 69 countries. Renewable Energy. 2015; 83(C):</w:t>
      </w:r>
      <w:r w:rsidR="00B85E65" w:rsidRPr="00F0456A">
        <w:t xml:space="preserve"> 799-808.</w:t>
      </w:r>
    </w:p>
    <w:p w14:paraId="7CAC138B" w14:textId="77777777" w:rsidR="00B85E65" w:rsidRPr="00F0456A" w:rsidRDefault="00F0456A" w:rsidP="00F0456A">
      <w:pPr>
        <w:pStyle w:val="q-References"/>
      </w:pPr>
      <w:r>
        <w:t>Al-Khaffajy M, Mossad</w:t>
      </w:r>
      <w:r w:rsidR="00B85E65" w:rsidRPr="00F0456A">
        <w:t xml:space="preserve"> R. Optimization of the heat exchanger in a flat plate indirect heating integrated collector storage solar water h</w:t>
      </w:r>
      <w:r>
        <w:t>eating system. Renewable Energy. 2013; 57:</w:t>
      </w:r>
      <w:r w:rsidR="00B85E65" w:rsidRPr="00F0456A">
        <w:t xml:space="preserve"> 413-421.</w:t>
      </w:r>
    </w:p>
    <w:p w14:paraId="7076AAB0" w14:textId="77777777" w:rsidR="00B85E65" w:rsidRPr="00F0456A" w:rsidRDefault="00B85E65" w:rsidP="00F0456A">
      <w:pPr>
        <w:pStyle w:val="q-References"/>
      </w:pPr>
      <w:r w:rsidRPr="00F0456A">
        <w:lastRenderedPageBreak/>
        <w:t>Iannelli LM. Efficiency in the heating of sanitary water for the residencial use in Argentina. Master thesis, CERARE Buen</w:t>
      </w:r>
      <w:r w:rsidR="00F0456A">
        <w:t xml:space="preserve">os Aires University, Argentina. 2019; </w:t>
      </w:r>
      <w:r w:rsidRPr="00F0456A">
        <w:t>143-147.</w:t>
      </w:r>
    </w:p>
    <w:p w14:paraId="137F110F" w14:textId="77777777" w:rsidR="00B85E65" w:rsidRPr="00F0456A" w:rsidRDefault="00F0456A" w:rsidP="00F0456A">
      <w:pPr>
        <w:pStyle w:val="q-References"/>
      </w:pPr>
      <w:r>
        <w:t>Iannelli LM, Gil</w:t>
      </w:r>
      <w:r w:rsidR="00B85E65" w:rsidRPr="00F0456A">
        <w:t xml:space="preserve"> S. Hot sanitary water in Argentina. ¿Which are the most convenients options? Technical Report. </w:t>
      </w:r>
      <w:r>
        <w:t>2020.</w:t>
      </w:r>
    </w:p>
    <w:p w14:paraId="0CBE2E51" w14:textId="77777777" w:rsidR="00B85E65" w:rsidRPr="00F0456A" w:rsidRDefault="00B85E65" w:rsidP="00F0456A">
      <w:pPr>
        <w:pStyle w:val="q-References"/>
      </w:pPr>
      <w:r w:rsidRPr="00F0456A">
        <w:t>Iannelli LM. Efficiency in the heating of water. Passive consumption in conventional and hy</w:t>
      </w:r>
      <w:r w:rsidR="00F0456A">
        <w:t>brid solar systems. PETROTECNIA. 2016; 3:</w:t>
      </w:r>
      <w:r w:rsidRPr="00F0456A">
        <w:t xml:space="preserve"> 585-595.  </w:t>
      </w:r>
    </w:p>
    <w:p w14:paraId="77037FF0" w14:textId="77777777" w:rsidR="00B85E65" w:rsidRPr="00F0456A" w:rsidRDefault="00F0456A" w:rsidP="00F0456A">
      <w:pPr>
        <w:pStyle w:val="q-References"/>
      </w:pPr>
      <w:r>
        <w:t xml:space="preserve">Niklasson GA, </w:t>
      </w:r>
      <w:r w:rsidR="00B85E65" w:rsidRPr="00F0456A">
        <w:t xml:space="preserve">Granqvist CG. Selectively solar-absorbing surface coatings: optical properties and degradation, in: C.G. Granqvist (Ed.), Materials Science for Solar Energy Conversion Systems, in: A.A.M. Sayigh (Ed.), Renewable Energy Series, Pergamon Press, Oxford. </w:t>
      </w:r>
      <w:r>
        <w:t xml:space="preserve">1991; </w:t>
      </w:r>
      <w:r w:rsidR="00B85E65" w:rsidRPr="00F0456A">
        <w:t xml:space="preserve">70–105.  </w:t>
      </w:r>
    </w:p>
    <w:p w14:paraId="5C5001F6" w14:textId="77777777" w:rsidR="00B85E65" w:rsidRPr="00F0456A" w:rsidRDefault="00B85E65" w:rsidP="00F0456A">
      <w:pPr>
        <w:pStyle w:val="q-References"/>
      </w:pPr>
      <w:r w:rsidRPr="00F0456A">
        <w:t>Bar</w:t>
      </w:r>
      <w:r w:rsidR="00F0456A">
        <w:t xml:space="preserve">rera E, Huerta L, Muhl S, </w:t>
      </w:r>
      <w:r w:rsidRPr="00F0456A">
        <w:t xml:space="preserve">Avila A. Synthesis of black cobalt and tin oxide films by the sol–gel process: surface and optical properties. Solar </w:t>
      </w:r>
      <w:r w:rsidR="00F0456A">
        <w:t>Energy Materials &amp; Solar Cells. 2005; 88:</w:t>
      </w:r>
      <w:r w:rsidRPr="00F0456A">
        <w:t xml:space="preserve"> 179–186. </w:t>
      </w:r>
    </w:p>
    <w:p w14:paraId="04682A3D" w14:textId="77777777" w:rsidR="00B85E65" w:rsidRPr="00F0456A" w:rsidRDefault="00B85E65" w:rsidP="00F0456A">
      <w:pPr>
        <w:pStyle w:val="q-References"/>
      </w:pPr>
      <w:r w:rsidRPr="00F0456A">
        <w:t>Avila GA, Barrera CE, Huerta AL, Muhl S. Cobalt oxide ﬁlms for solar selective surfaces, obtained by spray pyrolisis. Solar</w:t>
      </w:r>
      <w:r w:rsidR="00F0456A">
        <w:t xml:space="preserve"> Energy Materials &amp; Solar Cells. 2004; 82:</w:t>
      </w:r>
      <w:r w:rsidRPr="00F0456A">
        <w:t xml:space="preserve"> 269–278. </w:t>
      </w:r>
    </w:p>
    <w:p w14:paraId="2B2920E8" w14:textId="77777777" w:rsidR="00B85E65" w:rsidRPr="00F0456A" w:rsidRDefault="00F0456A" w:rsidP="00F0456A">
      <w:pPr>
        <w:pStyle w:val="q-References"/>
      </w:pPr>
      <w:r>
        <w:t>Jiang Y, Wu Y, Xie B, Xie Y,</w:t>
      </w:r>
      <w:r w:rsidR="00B85E65" w:rsidRPr="00F0456A">
        <w:t xml:space="preserve"> Qian Y. Moderate temperature synthesis of nanocrystalline Co</w:t>
      </w:r>
      <w:r w:rsidR="00B85E65" w:rsidRPr="003C3D56">
        <w:rPr>
          <w:vertAlign w:val="subscript"/>
        </w:rPr>
        <w:t>3</w:t>
      </w:r>
      <w:r w:rsidR="00B85E65" w:rsidRPr="00F0456A">
        <w:t>O</w:t>
      </w:r>
      <w:r w:rsidR="00B85E65" w:rsidRPr="003C3D56">
        <w:rPr>
          <w:vertAlign w:val="subscript"/>
        </w:rPr>
        <w:t>4</w:t>
      </w:r>
      <w:r w:rsidR="00B85E65" w:rsidRPr="00F0456A">
        <w:t xml:space="preserve"> via gel hydrothermal oxidation. M</w:t>
      </w:r>
      <w:r>
        <w:t>aterials Chemistry and Physics. 2002; 74:</w:t>
      </w:r>
      <w:r w:rsidR="00B85E65" w:rsidRPr="00F0456A">
        <w:t xml:space="preserve"> 234–237</w:t>
      </w:r>
      <w:r>
        <w:t>.</w:t>
      </w:r>
      <w:r w:rsidR="00B85E65" w:rsidRPr="00F0456A">
        <w:t xml:space="preserve"> </w:t>
      </w:r>
    </w:p>
    <w:p w14:paraId="63E02757" w14:textId="77777777" w:rsidR="00B85E65" w:rsidRPr="00F0456A" w:rsidRDefault="00B85E65" w:rsidP="00F0456A">
      <w:pPr>
        <w:pStyle w:val="q-References"/>
      </w:pPr>
      <w:r w:rsidRPr="00F0456A">
        <w:t>Furlanetto G. Precipitation of spherical Co</w:t>
      </w:r>
      <w:r w:rsidRPr="00FF0378">
        <w:rPr>
          <w:vertAlign w:val="subscript"/>
        </w:rPr>
        <w:t>3</w:t>
      </w:r>
      <w:r w:rsidRPr="00F0456A">
        <w:t>O</w:t>
      </w:r>
      <w:r w:rsidRPr="00FF0378">
        <w:rPr>
          <w:vertAlign w:val="subscript"/>
        </w:rPr>
        <w:t>4</w:t>
      </w:r>
      <w:r w:rsidRPr="00F0456A">
        <w:t xml:space="preserve"> particles. Journal o</w:t>
      </w:r>
      <w:r w:rsidR="00F0456A">
        <w:t xml:space="preserve">f colour and Interface Science. 1995; 170: </w:t>
      </w:r>
      <w:r w:rsidRPr="00F0456A">
        <w:t xml:space="preserve">169-175. </w:t>
      </w:r>
    </w:p>
    <w:p w14:paraId="29522440" w14:textId="77777777" w:rsidR="00B85E65" w:rsidRPr="00F0456A" w:rsidRDefault="00F0456A" w:rsidP="00F0456A">
      <w:pPr>
        <w:pStyle w:val="q-References"/>
      </w:pPr>
      <w:r>
        <w:t xml:space="preserve">Ramakrishna I, </w:t>
      </w:r>
      <w:r w:rsidR="00B85E65" w:rsidRPr="00F0456A">
        <w:t>Tapan KS. Sol-gel synthesis and characterizations of morphologycontrolled Co</w:t>
      </w:r>
      <w:r w:rsidR="00B85E65" w:rsidRPr="003C3D56">
        <w:rPr>
          <w:vertAlign w:val="subscript"/>
        </w:rPr>
        <w:t>3</w:t>
      </w:r>
      <w:r w:rsidR="00B85E65" w:rsidRPr="00F0456A">
        <w:t>O</w:t>
      </w:r>
      <w:r w:rsidR="00B85E65" w:rsidRPr="003C3D56">
        <w:rPr>
          <w:vertAlign w:val="subscript"/>
        </w:rPr>
        <w:t>4</w:t>
      </w:r>
      <w:r w:rsidR="00B85E65" w:rsidRPr="00F0456A">
        <w:t xml:space="preserve"> particle</w:t>
      </w:r>
      <w:r>
        <w:t xml:space="preserve">. Materials Today: Proceedings. 2019; 9: </w:t>
      </w:r>
      <w:r w:rsidR="00B85E65" w:rsidRPr="00F0456A">
        <w:t>458–467</w:t>
      </w:r>
      <w:r>
        <w:t>.</w:t>
      </w:r>
      <w:r w:rsidR="00B85E65" w:rsidRPr="00F0456A">
        <w:t xml:space="preserve"> </w:t>
      </w:r>
    </w:p>
    <w:p w14:paraId="4F457774" w14:textId="77777777" w:rsidR="00B85E65" w:rsidRPr="00F0456A" w:rsidRDefault="00B85E65" w:rsidP="00F0456A">
      <w:pPr>
        <w:pStyle w:val="q-References"/>
      </w:pPr>
      <w:r w:rsidRPr="00F0456A">
        <w:t>Hu L, Peng Q, Li Y. Selective Synthesis of Co</w:t>
      </w:r>
      <w:r w:rsidRPr="00FF0378">
        <w:rPr>
          <w:vertAlign w:val="subscript"/>
        </w:rPr>
        <w:t>3</w:t>
      </w:r>
      <w:r w:rsidRPr="00F0456A">
        <w:t>O</w:t>
      </w:r>
      <w:r w:rsidRPr="00FF0378">
        <w:rPr>
          <w:vertAlign w:val="subscript"/>
        </w:rPr>
        <w:t>4</w:t>
      </w:r>
      <w:r w:rsidRPr="00F0456A">
        <w:t xml:space="preserve"> Nanocrystal with Different Shape and Crystal Plane Effect on Catalytic Property for Methane Combustion. Journa</w:t>
      </w:r>
      <w:r w:rsidR="00F0456A">
        <w:t>l of American. Chemical Society. 2008; 130:</w:t>
      </w:r>
      <w:r w:rsidRPr="00F0456A">
        <w:t xml:space="preserve"> 16136–16137</w:t>
      </w:r>
      <w:r w:rsidR="00F0456A">
        <w:t>.</w:t>
      </w:r>
      <w:r w:rsidRPr="00F0456A">
        <w:t xml:space="preserve"> </w:t>
      </w:r>
    </w:p>
    <w:p w14:paraId="37046C91" w14:textId="77777777" w:rsidR="00B85E65" w:rsidRPr="00F0456A" w:rsidRDefault="00B85E65" w:rsidP="00F0456A">
      <w:pPr>
        <w:pStyle w:val="q-References"/>
      </w:pPr>
      <w:r w:rsidRPr="00F0456A">
        <w:t>Cao F, Wang D, Deng R, Tang J, Song S, Lei Y,  Wang S, Su S, Yang X, Zhang H. Porous Co</w:t>
      </w:r>
      <w:r w:rsidRPr="003C3D56">
        <w:rPr>
          <w:vertAlign w:val="subscript"/>
        </w:rPr>
        <w:t>3</w:t>
      </w:r>
      <w:r w:rsidRPr="00F0456A">
        <w:t>O</w:t>
      </w:r>
      <w:r w:rsidRPr="003C3D56">
        <w:rPr>
          <w:vertAlign w:val="subscript"/>
        </w:rPr>
        <w:t>4</w:t>
      </w:r>
      <w:r w:rsidRPr="00F0456A">
        <w:t xml:space="preserve"> microcubes: hydrothermal synthesis, catalytic and magnetic properties Crystal Engineering Co</w:t>
      </w:r>
      <w:r w:rsidR="00F0456A">
        <w:t>mmunity. 2011; 13:</w:t>
      </w:r>
      <w:r w:rsidRPr="00F0456A">
        <w:t xml:space="preserve"> 2123–2129. </w:t>
      </w:r>
    </w:p>
    <w:p w14:paraId="3FC5BED5" w14:textId="77777777" w:rsidR="00B85E65" w:rsidRPr="00F0456A" w:rsidRDefault="00B85E65" w:rsidP="00F0456A">
      <w:pPr>
        <w:pStyle w:val="q-References"/>
      </w:pPr>
      <w:r w:rsidRPr="00F0456A">
        <w:t>Xie X</w:t>
      </w:r>
      <w:r w:rsidR="00F0456A">
        <w:t>,</w:t>
      </w:r>
      <w:r w:rsidRPr="00F0456A">
        <w:t xml:space="preserve"> Shen W. Morphology control of cobalt oxide nanocrystals for promoting their </w:t>
      </w:r>
      <w:r w:rsidR="00F0456A">
        <w:t>catalytic performance Nanoscale. 2009; 1:</w:t>
      </w:r>
      <w:r w:rsidRPr="00F0456A">
        <w:t xml:space="preserve"> 50–60. </w:t>
      </w:r>
    </w:p>
    <w:p w14:paraId="2036C826" w14:textId="77777777" w:rsidR="00B85E65" w:rsidRPr="00F0456A" w:rsidRDefault="00B85E65" w:rsidP="00F0456A">
      <w:pPr>
        <w:pStyle w:val="q-References"/>
      </w:pPr>
      <w:r w:rsidRPr="00F0456A">
        <w:t>Gardey Me</w:t>
      </w:r>
      <w:r w:rsidR="00F0456A">
        <w:t xml:space="preserve">rino MC, Alonso JA, Lascalea GE, </w:t>
      </w:r>
      <w:r w:rsidRPr="00F0456A">
        <w:t>Vazquez P. Synthesis of CoCuMnOx Pigments for Solar Collectors Absorbent Enamels. Academia Journal of Scientific Research</w:t>
      </w:r>
      <w:r w:rsidR="00F0456A">
        <w:t>. 2016; 4(10):</w:t>
      </w:r>
      <w:r w:rsidRPr="00F0456A">
        <w:t xml:space="preserve"> 316-326.</w:t>
      </w:r>
    </w:p>
    <w:p w14:paraId="70A91A51" w14:textId="77777777" w:rsidR="00B85E65" w:rsidRPr="00F0456A" w:rsidRDefault="00B85E65" w:rsidP="00F0456A">
      <w:pPr>
        <w:pStyle w:val="q-References"/>
      </w:pPr>
      <w:r w:rsidRPr="00F0456A">
        <w:t>Toniolo JC, Lima MD, Takimi AS, Bergmann CP. The effect of fuel to oxidizer ratio in microstructure was studied in the synthesis of Co</w:t>
      </w:r>
      <w:r w:rsidRPr="003C3D56">
        <w:rPr>
          <w:vertAlign w:val="subscript"/>
        </w:rPr>
        <w:t>3</w:t>
      </w:r>
      <w:r w:rsidRPr="00F0456A">
        <w:t>O</w:t>
      </w:r>
      <w:r w:rsidRPr="003C3D56">
        <w:rPr>
          <w:vertAlign w:val="subscript"/>
        </w:rPr>
        <w:t>4</w:t>
      </w:r>
      <w:r w:rsidRPr="00F0456A">
        <w:t xml:space="preserve"> using urea as fu</w:t>
      </w:r>
      <w:r w:rsidR="00F0456A">
        <w:t>el. Materials Research Bulletin. 2005; 40:</w:t>
      </w:r>
      <w:r w:rsidRPr="00F0456A">
        <w:t xml:space="preserve"> 561–571. </w:t>
      </w:r>
    </w:p>
    <w:p w14:paraId="22637E54" w14:textId="77777777" w:rsidR="00B85E65" w:rsidRPr="00F0456A" w:rsidRDefault="00F0456A" w:rsidP="00F0456A">
      <w:pPr>
        <w:pStyle w:val="q-References"/>
      </w:pPr>
      <w:r>
        <w:t xml:space="preserve">Venkateswara RK, </w:t>
      </w:r>
      <w:r w:rsidR="00B85E65" w:rsidRPr="00F0456A">
        <w:t>Sunandana CS. Co</w:t>
      </w:r>
      <w:r w:rsidR="00B85E65" w:rsidRPr="00C33B34">
        <w:rPr>
          <w:vertAlign w:val="subscript"/>
        </w:rPr>
        <w:t>3</w:t>
      </w:r>
      <w:r w:rsidR="00B85E65" w:rsidRPr="00F0456A">
        <w:t>O</w:t>
      </w:r>
      <w:r w:rsidR="00B85E65" w:rsidRPr="00C33B34">
        <w:rPr>
          <w:vertAlign w:val="subscript"/>
        </w:rPr>
        <w:t>4</w:t>
      </w:r>
      <w:r w:rsidR="00B85E65" w:rsidRPr="00F0456A">
        <w:t xml:space="preserve"> nanoparticles by chemical combustion: Effect of fuel to oxidizer ratio on structure, microstructure and EPRSolid State Communications</w:t>
      </w:r>
      <w:r>
        <w:t>. 2008; 148:</w:t>
      </w:r>
      <w:r w:rsidR="00B85E65" w:rsidRPr="00F0456A">
        <w:t xml:space="preserve"> 32–37</w:t>
      </w:r>
      <w:r>
        <w:t>.</w:t>
      </w:r>
      <w:r w:rsidR="00B85E65" w:rsidRPr="00F0456A">
        <w:t xml:space="preserve"> </w:t>
      </w:r>
    </w:p>
    <w:p w14:paraId="5DF21B61" w14:textId="77777777" w:rsidR="00B85E65" w:rsidRPr="00F0456A" w:rsidRDefault="00B85E65" w:rsidP="00F0456A">
      <w:pPr>
        <w:pStyle w:val="q-References"/>
      </w:pPr>
      <w:r w:rsidRPr="00F0456A">
        <w:t>Toniolo JC, Takimi AS Bergmann CP. Nanostructured cobalt oxides (Co</w:t>
      </w:r>
      <w:r w:rsidRPr="003C3D56">
        <w:rPr>
          <w:vertAlign w:val="subscript"/>
        </w:rPr>
        <w:t>3</w:t>
      </w:r>
      <w:r w:rsidRPr="00F0456A">
        <w:t>O</w:t>
      </w:r>
      <w:r w:rsidRPr="003C3D56">
        <w:rPr>
          <w:vertAlign w:val="subscript"/>
        </w:rPr>
        <w:t>4</w:t>
      </w:r>
      <w:r w:rsidRPr="00F0456A">
        <w:t xml:space="preserve"> and Co</w:t>
      </w:r>
      <w:r w:rsidRPr="00FF0378">
        <w:t>O</w:t>
      </w:r>
      <w:r w:rsidRPr="00F0456A">
        <w:t>) and metallic Co powders synthesized by the solution combustion method Materials Research Bulletin</w:t>
      </w:r>
      <w:r w:rsidR="00F0456A">
        <w:t xml:space="preserve">. 2010; 45: </w:t>
      </w:r>
      <w:r w:rsidRPr="00F0456A">
        <w:t xml:space="preserve"> 672-676.</w:t>
      </w:r>
    </w:p>
    <w:p w14:paraId="2C11414A" w14:textId="77777777" w:rsidR="00B85E65" w:rsidRPr="00F0456A" w:rsidRDefault="00B85E65" w:rsidP="00F0456A">
      <w:pPr>
        <w:pStyle w:val="q-References"/>
      </w:pPr>
      <w:r w:rsidRPr="00F0456A">
        <w:t xml:space="preserve">Kümmerer K. Rethinking chemistry </w:t>
      </w:r>
      <w:r w:rsidR="00F0456A">
        <w:t>for a circular economy. Science. 2020; 367 (6476):</w:t>
      </w:r>
      <w:r w:rsidRPr="00F0456A">
        <w:t xml:space="preserve"> 369-370.</w:t>
      </w:r>
    </w:p>
    <w:p w14:paraId="2D0280B0" w14:textId="77777777" w:rsidR="00B85E65" w:rsidRPr="00F0456A" w:rsidRDefault="00B85E65" w:rsidP="00F0456A">
      <w:pPr>
        <w:pStyle w:val="q-References"/>
      </w:pPr>
      <w:r w:rsidRPr="00F0456A">
        <w:t>Zuin VG</w:t>
      </w:r>
      <w:r w:rsidR="00C33B34">
        <w:t>.</w:t>
      </w:r>
      <w:r w:rsidRPr="00F0456A">
        <w:t xml:space="preserve"> Circularity in green chemical products, processes and services: Innovative routes based on integrated eco-design and solution systems. Current Opinion in Green and Sust</w:t>
      </w:r>
      <w:r w:rsidR="00C33B34">
        <w:t xml:space="preserve">ainable Chemistry. 2016; 2: </w:t>
      </w:r>
      <w:r w:rsidRPr="00F0456A">
        <w:t xml:space="preserve"> 40-44.</w:t>
      </w:r>
    </w:p>
    <w:p w14:paraId="540F9A61" w14:textId="77777777" w:rsidR="00B85E65" w:rsidRPr="00F0456A" w:rsidRDefault="00B85E65" w:rsidP="00F0456A">
      <w:pPr>
        <w:pStyle w:val="q-References"/>
      </w:pPr>
      <w:r w:rsidRPr="00F0456A">
        <w:t>Venkata Mohan S. Waste biorefinery models towards sustainable circular bioeconomy: Critical review and future perspectives. Bioresource Technology</w:t>
      </w:r>
      <w:r w:rsidR="00C33B34">
        <w:t>. 2016; 215:</w:t>
      </w:r>
      <w:r w:rsidRPr="00F0456A">
        <w:t xml:space="preserve"> 2–12.</w:t>
      </w:r>
    </w:p>
    <w:p w14:paraId="75A26F26" w14:textId="77777777" w:rsidR="00B85E65" w:rsidRPr="00F0456A" w:rsidRDefault="00B85E65" w:rsidP="00F0456A">
      <w:pPr>
        <w:pStyle w:val="q-References"/>
      </w:pPr>
      <w:r w:rsidRPr="00F0456A">
        <w:t>Klug H, Alexander L. X-ray Diffraction Procedures for Polycrystalline and Amorphous Materials, 2º edition</w:t>
      </w:r>
      <w:r w:rsidR="00C33B34">
        <w:t>, John Wiley and Sons, New York. 1974;</w:t>
      </w:r>
      <w:r w:rsidRPr="00F0456A">
        <w:t xml:space="preserve"> 105-120.</w:t>
      </w:r>
    </w:p>
    <w:p w14:paraId="738F04EE" w14:textId="239E47A1" w:rsidR="00B85E65" w:rsidRPr="003B4AAE" w:rsidRDefault="00B435B1" w:rsidP="003B4AAE">
      <w:pPr>
        <w:pStyle w:val="q-References"/>
        <w:rPr>
          <w:lang w:val="en-GB"/>
        </w:rPr>
      </w:pPr>
      <w:hyperlink r:id="rId26" w:history="1">
        <w:r w:rsidR="008823BE" w:rsidRPr="003B4AAE">
          <w:rPr>
            <w:lang w:val="en-GB"/>
          </w:rPr>
          <w:t xml:space="preserve"> Chandrasekare</w:t>
        </w:r>
      </w:hyperlink>
      <w:r w:rsidR="003B4AAE" w:rsidRPr="003B4AAE">
        <w:rPr>
          <w:lang w:val="en-GB"/>
        </w:rPr>
        <w:t>,</w:t>
      </w:r>
      <w:r w:rsidR="008823BE" w:rsidRPr="003B4AAE">
        <w:rPr>
          <w:lang w:val="en-GB"/>
        </w:rPr>
        <w:t xml:space="preserve"> ME</w:t>
      </w:r>
      <w:r w:rsidR="003B4AAE">
        <w:rPr>
          <w:lang w:val="en-GB"/>
        </w:rPr>
        <w:t xml:space="preserve">. </w:t>
      </w:r>
      <w:r w:rsidR="003B4AAE" w:rsidRPr="003B4AAE">
        <w:rPr>
          <w:lang w:val="en-GB"/>
        </w:rPr>
        <w:t>ISO 9845-1:1992 Solar energy — Reference solar spectral irradiance at the ground at different receiving conditions — Part 1: Direct normal and hemispherical solar irradiance for air mass 1,5</w:t>
      </w:r>
      <w:r w:rsidR="003B4AAE">
        <w:rPr>
          <w:lang w:val="en-GB"/>
        </w:rPr>
        <w:t>. 1992. 1-14.</w:t>
      </w:r>
    </w:p>
    <w:p w14:paraId="50BD0FAD" w14:textId="77777777" w:rsidR="00B85E65" w:rsidRPr="00F0456A" w:rsidRDefault="00B85E65" w:rsidP="00F0456A">
      <w:pPr>
        <w:pStyle w:val="q-References"/>
      </w:pPr>
      <w:r w:rsidRPr="00F0456A">
        <w:t>Bhaduri S, Zhou E</w:t>
      </w:r>
      <w:r w:rsidR="00C33B34">
        <w:t>,</w:t>
      </w:r>
      <w:r w:rsidRPr="00F0456A">
        <w:t xml:space="preserve"> Bhaduri SB. Auto ignition processing of nanocrystalline a-Al2O3</w:t>
      </w:r>
      <w:r w:rsidR="00C33B34">
        <w:t xml:space="preserve">. Nanostructured Materials. 1996; 7 (5): </w:t>
      </w:r>
      <w:r w:rsidRPr="00F0456A">
        <w:t xml:space="preserve"> 487–496.</w:t>
      </w:r>
    </w:p>
    <w:p w14:paraId="000F4B60" w14:textId="77777777" w:rsidR="00B85E65" w:rsidRPr="00F0456A" w:rsidRDefault="00B85E65" w:rsidP="00F0456A">
      <w:pPr>
        <w:pStyle w:val="q-References"/>
      </w:pPr>
      <w:r w:rsidRPr="00F0456A">
        <w:t>Toniolo J, Takimi A</w:t>
      </w:r>
      <w:r w:rsidR="00C33B34">
        <w:t>,</w:t>
      </w:r>
      <w:r w:rsidRPr="00F0456A">
        <w:t xml:space="preserve"> Bergmann C. Nanostructured cobalt oxides (</w:t>
      </w:r>
      <w:r w:rsidRPr="00C33B34">
        <w:t>Co</w:t>
      </w:r>
      <w:r w:rsidRPr="00C33B34">
        <w:rPr>
          <w:vertAlign w:val="subscript"/>
        </w:rPr>
        <w:t>3</w:t>
      </w:r>
      <w:r w:rsidRPr="00C33B34">
        <w:t>O</w:t>
      </w:r>
      <w:r w:rsidRPr="00C33B34">
        <w:rPr>
          <w:vertAlign w:val="subscript"/>
        </w:rPr>
        <w:t>4</w:t>
      </w:r>
      <w:r w:rsidRPr="00F0456A">
        <w:t xml:space="preserve"> and Co</w:t>
      </w:r>
      <w:r w:rsidRPr="00FF0378">
        <w:t>O</w:t>
      </w:r>
      <w:r w:rsidRPr="00F0456A">
        <w:t>) and metallic Co powders synthesized by the solution combustion meth</w:t>
      </w:r>
      <w:r w:rsidR="00C33B34">
        <w:t xml:space="preserve">od. Materials Research Bulletin. 2012; 45: </w:t>
      </w:r>
      <w:r w:rsidRPr="00F0456A">
        <w:t xml:space="preserve"> 672–676.</w:t>
      </w:r>
    </w:p>
    <w:p w14:paraId="65CB4816" w14:textId="77777777" w:rsidR="00B85E65" w:rsidRPr="00F0456A" w:rsidRDefault="00B85E65" w:rsidP="00F0456A">
      <w:pPr>
        <w:pStyle w:val="q-References"/>
      </w:pPr>
      <w:r w:rsidRPr="00F0456A">
        <w:lastRenderedPageBreak/>
        <w:t>Gu F, Li C, Hu Y, Zhang L. Synthesis and optical characterization of Co</w:t>
      </w:r>
      <w:r w:rsidRPr="003C3D56">
        <w:rPr>
          <w:vertAlign w:val="subscript"/>
        </w:rPr>
        <w:t>3</w:t>
      </w:r>
      <w:r w:rsidRPr="00F0456A">
        <w:t>O</w:t>
      </w:r>
      <w:r w:rsidRPr="003C3D56">
        <w:rPr>
          <w:vertAlign w:val="subscript"/>
        </w:rPr>
        <w:t>4</w:t>
      </w:r>
      <w:r w:rsidRPr="00F0456A">
        <w:t xml:space="preserve"> nanocrystals. Journal of Crystal Growth</w:t>
      </w:r>
      <w:r w:rsidR="00C33B34">
        <w:t>. 2007;</w:t>
      </w:r>
      <w:r w:rsidRPr="00F0456A">
        <w:t xml:space="preserve"> 304</w:t>
      </w:r>
      <w:r w:rsidR="003C3D56">
        <w:t>:</w:t>
      </w:r>
      <w:r w:rsidRPr="00F0456A">
        <w:t xml:space="preserve"> 369–373.</w:t>
      </w:r>
    </w:p>
    <w:p w14:paraId="42996642" w14:textId="77777777" w:rsidR="00B85E65" w:rsidRPr="00F0456A" w:rsidRDefault="00B85E65" w:rsidP="00F0456A">
      <w:pPr>
        <w:pStyle w:val="q-References"/>
      </w:pPr>
      <w:r w:rsidRPr="00F0456A">
        <w:t>Chen H, Wang Y, Xu C. Facile and green synthesis of mesoporous Co</w:t>
      </w:r>
      <w:r w:rsidRPr="003C3D56">
        <w:rPr>
          <w:vertAlign w:val="subscript"/>
        </w:rPr>
        <w:t>3</w:t>
      </w:r>
      <w:r w:rsidRPr="00F0456A">
        <w:t>O</w:t>
      </w:r>
      <w:r w:rsidRPr="003C3D56">
        <w:rPr>
          <w:vertAlign w:val="subscript"/>
        </w:rPr>
        <w:t>4</w:t>
      </w:r>
      <w:r w:rsidR="00C33B34">
        <w:t xml:space="preserve"> nanowires. Materials Letters. 2016; 163: </w:t>
      </w:r>
      <w:r w:rsidRPr="00F0456A">
        <w:t xml:space="preserve"> 72–75.</w:t>
      </w:r>
    </w:p>
    <w:p w14:paraId="11F4D988" w14:textId="77777777" w:rsidR="00B85E65" w:rsidRPr="00F0456A" w:rsidRDefault="003C3D56" w:rsidP="00F0456A">
      <w:pPr>
        <w:pStyle w:val="q-References"/>
      </w:pPr>
      <w:r>
        <w:t>Ozkay T, Baykal A, Toprak MS</w:t>
      </w:r>
      <w:r w:rsidR="00B85E65" w:rsidRPr="00F0456A">
        <w:t>, Koseoğlu Y, Durmus Z. Reflux synthesis of Co</w:t>
      </w:r>
      <w:r w:rsidR="00B85E65" w:rsidRPr="003C3D56">
        <w:rPr>
          <w:vertAlign w:val="subscript"/>
        </w:rPr>
        <w:t>3</w:t>
      </w:r>
      <w:r w:rsidR="00B85E65" w:rsidRPr="00F0456A">
        <w:t>O</w:t>
      </w:r>
      <w:r w:rsidR="00B85E65" w:rsidRPr="003C3D56">
        <w:rPr>
          <w:vertAlign w:val="subscript"/>
        </w:rPr>
        <w:t>4</w:t>
      </w:r>
      <w:r w:rsidR="00B85E65" w:rsidRPr="00F0456A">
        <w:t xml:space="preserve"> nanoparticles and its magnetic characterization. Journal of M</w:t>
      </w:r>
      <w:r w:rsidR="00C33B34">
        <w:t>agnetism and Magnetic Materials. 2009;</w:t>
      </w:r>
      <w:r w:rsidR="00B85E65" w:rsidRPr="00F0456A">
        <w:t xml:space="preserve"> 321</w:t>
      </w:r>
      <w:r>
        <w:t>:</w:t>
      </w:r>
      <w:r w:rsidR="00B85E65" w:rsidRPr="00F0456A">
        <w:t xml:space="preserve"> 2145–2149.</w:t>
      </w:r>
    </w:p>
    <w:p w14:paraId="7949EAEE" w14:textId="77777777" w:rsidR="00B85E65" w:rsidRPr="00F0456A" w:rsidRDefault="00B85E65" w:rsidP="00F0456A">
      <w:pPr>
        <w:pStyle w:val="q-References"/>
      </w:pPr>
      <w:r w:rsidRPr="008823BE">
        <w:rPr>
          <w:lang w:val="es-AR"/>
        </w:rPr>
        <w:t xml:space="preserve">Al-Tuwirqi R, Al-Ghamdia AA, Aal NA, Umar A, Mahmoud WE. </w:t>
      </w:r>
      <w:r w:rsidRPr="00F0456A">
        <w:t>Facile synthesis and optical properties of Co</w:t>
      </w:r>
      <w:r w:rsidRPr="003C3D56">
        <w:rPr>
          <w:vertAlign w:val="subscript"/>
        </w:rPr>
        <w:t>3</w:t>
      </w:r>
      <w:r w:rsidRPr="00F0456A">
        <w:t>O</w:t>
      </w:r>
      <w:r w:rsidRPr="003C3D56">
        <w:rPr>
          <w:vertAlign w:val="subscript"/>
        </w:rPr>
        <w:t>4</w:t>
      </w:r>
      <w:r w:rsidRPr="00F0456A">
        <w:t xml:space="preserve"> nanostructures by the microwave route. Superlattices and </w:t>
      </w:r>
      <w:r w:rsidR="00C33B34">
        <w:t xml:space="preserve">Microstructures. 2011; 49: </w:t>
      </w:r>
      <w:r w:rsidRPr="00F0456A">
        <w:t xml:space="preserve"> 416–421.</w:t>
      </w:r>
    </w:p>
    <w:p w14:paraId="23C692F7" w14:textId="77777777" w:rsidR="00B85E65" w:rsidRPr="00F0456A" w:rsidRDefault="00B85E65" w:rsidP="00F0456A">
      <w:pPr>
        <w:pStyle w:val="q-References"/>
        <w:rPr>
          <w:rFonts w:eastAsia="Calibri"/>
        </w:rPr>
      </w:pPr>
      <w:r w:rsidRPr="00F0456A">
        <w:t xml:space="preserve">Youn Y, Miller J , New K, Hwang KJ, Choi C, Kim Y </w:t>
      </w:r>
      <w:r w:rsidR="00C33B34">
        <w:t>,</w:t>
      </w:r>
      <w:r w:rsidRPr="00F0456A">
        <w:t xml:space="preserve">Jin S. Effects of Metal Dopings on CuCr2O4 Pigment for Use in Concentrated Solar Power Solar Selective Coatings. </w:t>
      </w:r>
      <w:r w:rsidR="00C33B34">
        <w:t xml:space="preserve">ACS Appl. Energy Mater. 2019; 2: </w:t>
      </w:r>
      <w:r w:rsidRPr="00F0456A">
        <w:t xml:space="preserve"> 882−888</w:t>
      </w:r>
      <w:r w:rsidRPr="00F0456A">
        <w:rPr>
          <w:rFonts w:eastAsia="Calibri"/>
        </w:rPr>
        <w:t xml:space="preserve">. </w:t>
      </w:r>
    </w:p>
    <w:p w14:paraId="1400D3CB" w14:textId="77777777" w:rsidR="00B85E65" w:rsidRPr="00F0456A" w:rsidRDefault="003C3D56" w:rsidP="00F0456A">
      <w:pPr>
        <w:pStyle w:val="q-References"/>
      </w:pPr>
      <w:r>
        <w:t>Geng Q, Zhao X, Gao X</w:t>
      </w:r>
      <w:r w:rsidR="00C33B34">
        <w:t>,</w:t>
      </w:r>
      <w:r>
        <w:t xml:space="preserve"> </w:t>
      </w:r>
      <w:r w:rsidR="00B85E65" w:rsidRPr="00F0456A">
        <w:t xml:space="preserve">Liu G. Sol–gel combustion-derived CoCuMnOx spinels as pigment for spectrally selective paints. Journal </w:t>
      </w:r>
      <w:r w:rsidR="00C33B34">
        <w:t>of the Ame</w:t>
      </w:r>
      <w:r>
        <w:t>rican Ceramic Society. 2011; 94</w:t>
      </w:r>
      <w:r w:rsidR="00C33B34">
        <w:t>(3):</w:t>
      </w:r>
      <w:r w:rsidR="00B85E65" w:rsidRPr="00F0456A">
        <w:t xml:space="preserve"> 827–832. </w:t>
      </w:r>
    </w:p>
    <w:p w14:paraId="7EC9BFD9" w14:textId="77777777" w:rsidR="00B85E65" w:rsidRPr="00F0456A" w:rsidRDefault="00B85E65" w:rsidP="00F0456A">
      <w:pPr>
        <w:pStyle w:val="q-References"/>
      </w:pPr>
      <w:r w:rsidRPr="00F0456A">
        <w:t>Buskirk V. Solar selective surfaces. US Patent No</w:t>
      </w:r>
      <w:r w:rsidR="00C33B34">
        <w:t>. 1982;</w:t>
      </w:r>
      <w:r w:rsidR="003C3D56">
        <w:t xml:space="preserve"> 4: </w:t>
      </w:r>
      <w:r w:rsidRPr="00F0456A">
        <w:t>310</w:t>
      </w:r>
      <w:r w:rsidR="003C3D56">
        <w:t>-</w:t>
      </w:r>
      <w:r w:rsidRPr="00F0456A">
        <w:t>596.</w:t>
      </w:r>
    </w:p>
    <w:p w14:paraId="1CD1F560" w14:textId="77777777" w:rsidR="005A5EBE" w:rsidRPr="003C3D56" w:rsidRDefault="00B85E65" w:rsidP="00F0456A">
      <w:pPr>
        <w:pStyle w:val="q-References"/>
      </w:pPr>
      <w:r w:rsidRPr="003C3D56">
        <w:t>Sungho J, Renkun C, Zhaowei L, Jaeyun M, Tae KK, La J. Solar energy absorbing coatings and methods of fabrication. U.S. Patent No.</w:t>
      </w:r>
      <w:r w:rsidR="00C33B34" w:rsidRPr="003C3D56">
        <w:t xml:space="preserve"> 2007;</w:t>
      </w:r>
      <w:r w:rsidRPr="003C3D56">
        <w:t xml:space="preserve"> 00735.30A1.</w:t>
      </w:r>
      <w:r w:rsidR="00A2646C" w:rsidRPr="003C3D56">
        <w:t xml:space="preserve"> </w:t>
      </w:r>
    </w:p>
    <w:sectPr w:rsidR="005A5EBE" w:rsidRPr="003C3D56" w:rsidSect="00FA25C1">
      <w:headerReference w:type="even" r:id="rId27"/>
      <w:headerReference w:type="default" r:id="rId28"/>
      <w:footerReference w:type="default" r:id="rId29"/>
      <w:headerReference w:type="first" r:id="rId30"/>
      <w:footerReference w:type="first" r:id="rId31"/>
      <w:type w:val="continuous"/>
      <w:pgSz w:w="11909" w:h="16834" w:code="9"/>
      <w:pgMar w:top="1440" w:right="907" w:bottom="1440" w:left="907" w:header="720" w:footer="706"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A501E" w14:textId="77777777" w:rsidR="00B435B1" w:rsidRPr="003D7BB2" w:rsidRDefault="00B435B1" w:rsidP="005D1B76">
      <w:pPr>
        <w:pStyle w:val="l-CaptionsTables"/>
        <w:spacing w:before="0" w:after="0"/>
        <w:rPr>
          <w:sz w:val="19"/>
        </w:rPr>
      </w:pPr>
      <w:r>
        <w:separator/>
      </w:r>
    </w:p>
    <w:p w14:paraId="54E044C5" w14:textId="77777777" w:rsidR="00B435B1" w:rsidRDefault="00B435B1"/>
    <w:p w14:paraId="3ABB2A69" w14:textId="77777777" w:rsidR="00B435B1" w:rsidRDefault="00B435B1"/>
  </w:endnote>
  <w:endnote w:type="continuationSeparator" w:id="0">
    <w:p w14:paraId="51138DF7" w14:textId="77777777" w:rsidR="00B435B1" w:rsidRPr="003D7BB2" w:rsidRDefault="00B435B1" w:rsidP="005D1B76">
      <w:pPr>
        <w:pStyle w:val="l-CaptionsTables"/>
        <w:spacing w:before="0" w:after="0"/>
        <w:rPr>
          <w:sz w:val="19"/>
        </w:rPr>
      </w:pPr>
      <w:r>
        <w:continuationSeparator/>
      </w:r>
    </w:p>
    <w:p w14:paraId="763A0AE1" w14:textId="77777777" w:rsidR="00B435B1" w:rsidRDefault="00B435B1"/>
    <w:p w14:paraId="2BC044E3" w14:textId="77777777" w:rsidR="00B435B1" w:rsidRDefault="00B435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1832"/>
      <w:docPartObj>
        <w:docPartGallery w:val="Page Numbers (Bottom of Page)"/>
        <w:docPartUnique/>
      </w:docPartObj>
    </w:sdtPr>
    <w:sdtEndPr/>
    <w:sdtContent>
      <w:p w14:paraId="7FEDB64B" w14:textId="40570E4E" w:rsidR="00C33B34" w:rsidRDefault="00C33B34" w:rsidP="00CB7279">
        <w:pPr>
          <w:jc w:val="right"/>
        </w:pPr>
        <w:r>
          <w:fldChar w:fldCharType="begin"/>
        </w:r>
        <w:r>
          <w:instrText xml:space="preserve"> PAGE   \* MERGEFORMAT </w:instrText>
        </w:r>
        <w:r>
          <w:fldChar w:fldCharType="separate"/>
        </w:r>
        <w:r w:rsidR="00FD4ED0">
          <w:rPr>
            <w:noProof/>
          </w:rPr>
          <w:t>14</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BE607" w14:textId="77777777" w:rsidR="00C33B34" w:rsidRPr="008823BE" w:rsidRDefault="00C33B34" w:rsidP="00B17C3A">
    <w:pPr>
      <w:pStyle w:val="r-Footnoteforpage"/>
      <w:rPr>
        <w:lang w:val="es-AR"/>
      </w:rPr>
    </w:pPr>
    <w:r w:rsidRPr="00F5472C">
      <w:rPr>
        <w:rStyle w:val="Refdenotaalpie"/>
        <w:b/>
        <w:sz w:val="20"/>
      </w:rPr>
      <w:sym w:font="Symbol" w:char="F02A"/>
    </w:r>
    <w:r w:rsidRPr="008823BE">
      <w:rPr>
        <w:b/>
        <w:sz w:val="20"/>
        <w:lang w:val="es-AR"/>
      </w:rPr>
      <w:t xml:space="preserve"> </w:t>
    </w:r>
    <w:r w:rsidRPr="008823BE">
      <w:rPr>
        <w:lang w:val="es-AR"/>
      </w:rPr>
      <w:t xml:space="preserve">Corresponding author: </w:t>
    </w:r>
    <w:r w:rsidR="00C846AF" w:rsidRPr="008823BE">
      <w:rPr>
        <w:lang w:val="es-AR"/>
      </w:rPr>
      <w:t>Gardey Merino Maria Celeste</w:t>
    </w:r>
  </w:p>
  <w:p w14:paraId="1DD47595" w14:textId="77777777" w:rsidR="00C33B34" w:rsidRPr="008823BE" w:rsidRDefault="00C846AF" w:rsidP="00B17C3A">
    <w:pPr>
      <w:pStyle w:val="r-Footnoteforpage"/>
      <w:rPr>
        <w:lang w:val="es-AR"/>
      </w:rPr>
    </w:pPr>
    <w:r w:rsidRPr="008823BE">
      <w:rPr>
        <w:lang w:val="es-AR"/>
      </w:rPr>
      <w:t>Grupo CLIOPE, Facultad Regional Mendoza, Universidad Tecnológica Nacional (UTN), Rodríguez 273, (M5502AJE) Mendoza, Argentina</w:t>
    </w:r>
    <w:r w:rsidR="00C33B34" w:rsidRPr="008823BE">
      <w:rPr>
        <w:lang w:val="es-AR"/>
      </w:rPr>
      <w:t>.</w:t>
    </w:r>
  </w:p>
  <w:p w14:paraId="7AAFA333" w14:textId="77777777" w:rsidR="00C33B34" w:rsidRDefault="00C33B34" w:rsidP="00CB7279">
    <w:pPr>
      <w:pStyle w:val="t-Copyrightinfo"/>
      <w:jc w:val="both"/>
    </w:pPr>
    <w:r w:rsidRPr="009F72F7">
      <w:t>Copyright © 20</w:t>
    </w:r>
    <w:r>
      <w:t>21</w:t>
    </w:r>
    <w:r w:rsidRPr="009F72F7">
      <w:t> Author(s) retain the copyright of this article. </w:t>
    </w:r>
    <w:r w:rsidRPr="009F72F7">
      <w:rPr>
        <w:szCs w:val="18"/>
        <w:bdr w:val="none" w:sz="0" w:space="0" w:color="auto" w:frame="1"/>
        <w:shd w:val="clear" w:color="auto" w:fill="FFFFFF"/>
      </w:rPr>
      <w:t>This article is published under the terms of the </w:t>
    </w:r>
    <w:hyperlink r:id="rId1" w:history="1">
      <w:r w:rsidRPr="009F72F7">
        <w:rPr>
          <w:rFonts w:eastAsia="SimSun" w:cs="Times New Roman"/>
          <w:noProof/>
          <w:szCs w:val="15"/>
        </w:rPr>
        <w:t>Creative Commons Attribution Liscense 4.0</w:t>
      </w:r>
    </w:hyperlink>
    <w:r w:rsidRPr="009F72F7">
      <w:rPr>
        <w:szCs w:val="18"/>
        <w:bdr w:val="none" w:sz="0" w:space="0" w:color="auto" w:frame="1"/>
        <w:shd w:val="clear" w:color="auto" w:fill="FFFFFF"/>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B1BB49" w14:textId="77777777" w:rsidR="00B435B1" w:rsidRPr="003D7BB2" w:rsidRDefault="00B435B1" w:rsidP="005D1B76">
      <w:pPr>
        <w:pStyle w:val="l-CaptionsTables"/>
        <w:spacing w:before="0" w:after="0"/>
        <w:rPr>
          <w:sz w:val="19"/>
        </w:rPr>
      </w:pPr>
      <w:r>
        <w:separator/>
      </w:r>
    </w:p>
    <w:p w14:paraId="496AD6BB" w14:textId="77777777" w:rsidR="00B435B1" w:rsidRDefault="00B435B1"/>
    <w:p w14:paraId="22BC9D7A" w14:textId="77777777" w:rsidR="00B435B1" w:rsidRDefault="00B435B1"/>
  </w:footnote>
  <w:footnote w:type="continuationSeparator" w:id="0">
    <w:p w14:paraId="3807F3C6" w14:textId="77777777" w:rsidR="00B435B1" w:rsidRPr="003D7BB2" w:rsidRDefault="00B435B1" w:rsidP="005D1B76">
      <w:pPr>
        <w:pStyle w:val="l-CaptionsTables"/>
        <w:spacing w:before="0" w:after="0"/>
        <w:rPr>
          <w:sz w:val="19"/>
        </w:rPr>
      </w:pPr>
      <w:r>
        <w:continuationSeparator/>
      </w:r>
    </w:p>
    <w:p w14:paraId="241FBFA9" w14:textId="77777777" w:rsidR="00B435B1" w:rsidRDefault="00B435B1"/>
    <w:p w14:paraId="710869DE" w14:textId="77777777" w:rsidR="00B435B1" w:rsidRDefault="00B435B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3525337"/>
      <w:docPartObj>
        <w:docPartGallery w:val="Page Numbers (Top of Page)"/>
        <w:docPartUnique/>
      </w:docPartObj>
    </w:sdtPr>
    <w:sdtEndPr>
      <w:rPr>
        <w:i w:val="0"/>
      </w:rPr>
    </w:sdtEndPr>
    <w:sdtContent>
      <w:p w14:paraId="7A5AE1A6" w14:textId="77777777" w:rsidR="00C33B34" w:rsidRPr="00FA25C1" w:rsidRDefault="00C33B34" w:rsidP="00FA25C1">
        <w:pPr>
          <w:rPr>
            <w:i/>
            <w:iCs/>
            <w:szCs w:val="16"/>
          </w:rPr>
        </w:pPr>
      </w:p>
      <w:p w14:paraId="0B8F9292" w14:textId="77777777" w:rsidR="00C33B34" w:rsidRDefault="00B435B1"/>
    </w:sdtContent>
  </w:sdt>
  <w:p w14:paraId="1DF6A8DB" w14:textId="77777777" w:rsidR="00C33B34" w:rsidRDefault="00C33B34"/>
  <w:p w14:paraId="1AB8ADC8" w14:textId="77777777" w:rsidR="00C33B34" w:rsidRDefault="00C33B3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4B029" w14:textId="77777777" w:rsidR="00C33B34" w:rsidRPr="007D04F3" w:rsidRDefault="00C33B34" w:rsidP="007D04F3">
    <w:pPr>
      <w:pStyle w:val="s-headerotherpages"/>
    </w:pPr>
    <w:r w:rsidRPr="00241C4D">
      <w:t>GSC Advanced Engineering and Technology</w:t>
    </w:r>
    <w:r w:rsidRPr="007D04F3">
      <w:t>, 2021, XX(XX), XXX–XXX</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921B2" w14:textId="77777777" w:rsidR="00C33B34" w:rsidRDefault="00C33B34" w:rsidP="001F521E">
    <w:pPr>
      <w:spacing w:after="0"/>
      <w:rPr>
        <w:sz w:val="6"/>
        <w:szCs w:val="6"/>
      </w:rPr>
    </w:pPr>
    <w:r w:rsidRPr="00E31334">
      <w:rPr>
        <w:noProof/>
        <w:sz w:val="6"/>
        <w:szCs w:val="6"/>
        <w:lang w:val="es-ES" w:eastAsia="es-ES"/>
      </w:rPr>
      <w:drawing>
        <wp:inline distT="0" distB="0" distL="0" distR="0" wp14:anchorId="4CEB167B" wp14:editId="71CA441F">
          <wp:extent cx="6410325" cy="1117819"/>
          <wp:effectExtent l="0" t="0" r="0" b="6350"/>
          <wp:docPr id="2" name="Picture 2" descr="E:\Header images\Cropped final on 04 Jan 2021\GSCA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eader images\Cropped final on 04 Jan 2021\GSCAET.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10325" cy="1117819"/>
                  </a:xfrm>
                  <a:prstGeom prst="rect">
                    <a:avLst/>
                  </a:prstGeom>
                  <a:noFill/>
                  <a:ln>
                    <a:noFill/>
                  </a:ln>
                </pic:spPr>
              </pic:pic>
            </a:graphicData>
          </a:graphic>
        </wp:inline>
      </w:drawing>
    </w:r>
  </w:p>
  <w:p w14:paraId="15DE956A" w14:textId="77777777" w:rsidR="00C33B34" w:rsidRDefault="00C33B34" w:rsidP="001F521E">
    <w:pPr>
      <w:spacing w:after="0"/>
      <w:rPr>
        <w:sz w:val="6"/>
        <w:szCs w:val="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E30FD"/>
    <w:multiLevelType w:val="hybridMultilevel"/>
    <w:tmpl w:val="2EF6145E"/>
    <w:lvl w:ilvl="0" w:tplc="C6042AA2">
      <w:start w:val="1"/>
      <w:numFmt w:val="decimal"/>
      <w:pStyle w:val="q-References"/>
      <w:lvlText w:val="[%1]"/>
      <w:lvlJc w:val="left"/>
      <w:pPr>
        <w:ind w:left="720" w:hanging="360"/>
      </w:pPr>
      <w:rPr>
        <w:rFonts w:ascii="Cambria" w:hAnsi="Cambria" w:hint="default"/>
        <w:b w:val="0"/>
        <w:i w:val="0"/>
        <w:color w:val="auto"/>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DD213D"/>
    <w:multiLevelType w:val="hybridMultilevel"/>
    <w:tmpl w:val="CBEC9CF6"/>
    <w:lvl w:ilvl="0" w:tplc="757EF762">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2F1E87"/>
    <w:multiLevelType w:val="hybridMultilevel"/>
    <w:tmpl w:val="A1BAC5D2"/>
    <w:lvl w:ilvl="0" w:tplc="A140BDA0">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4F43FD5"/>
    <w:multiLevelType w:val="hybridMultilevel"/>
    <w:tmpl w:val="78B899F2"/>
    <w:lvl w:ilvl="0" w:tplc="A912C90C">
      <w:start w:val="1"/>
      <w:numFmt w:val="decimal"/>
      <w:lvlText w:val="%1."/>
      <w:lvlJc w:val="left"/>
      <w:pPr>
        <w:ind w:left="360" w:hanging="360"/>
      </w:pPr>
      <w:rPr>
        <w:rFonts w:ascii="Times New Roman" w:hAnsi="Times New Roman" w:hint="default"/>
        <w:b w:val="0"/>
        <w:i w:val="0"/>
        <w:caps w:val="0"/>
        <w:vanish w:val="0"/>
        <w:spacing w:val="0"/>
        <w:position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4A4AFC"/>
    <w:multiLevelType w:val="hybridMultilevel"/>
    <w:tmpl w:val="A1BAC5D2"/>
    <w:lvl w:ilvl="0" w:tplc="A140BDA0">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069112E"/>
    <w:multiLevelType w:val="multilevel"/>
    <w:tmpl w:val="E452D64A"/>
    <w:lvl w:ilvl="0">
      <w:start w:val="1"/>
      <w:numFmt w:val="decimal"/>
      <w:pStyle w:val="Ttulo1"/>
      <w:suff w:val="space"/>
      <w:lvlText w:val="%1."/>
      <w:lvlJc w:val="left"/>
      <w:pPr>
        <w:ind w:left="0" w:firstLine="0"/>
      </w:pPr>
      <w:rPr>
        <w:rFonts w:hint="default"/>
      </w:rPr>
    </w:lvl>
    <w:lvl w:ilvl="1">
      <w:start w:val="1"/>
      <w:numFmt w:val="decimal"/>
      <w:pStyle w:val="Ttulo2"/>
      <w:suff w:val="space"/>
      <w:lvlText w:val="%1.%2."/>
      <w:lvlJc w:val="left"/>
      <w:pPr>
        <w:ind w:left="0" w:firstLine="0"/>
      </w:pPr>
      <w:rPr>
        <w:rFonts w:hint="default"/>
      </w:rPr>
    </w:lvl>
    <w:lvl w:ilvl="2">
      <w:start w:val="1"/>
      <w:numFmt w:val="decimal"/>
      <w:pStyle w:val="Ttulo3"/>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3"/>
  </w:num>
  <w:num w:numId="2">
    <w:abstractNumId w:val="4"/>
  </w:num>
  <w:num w:numId="3">
    <w:abstractNumId w:val="5"/>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559"/>
    <w:rsid w:val="00016FDB"/>
    <w:rsid w:val="00094BED"/>
    <w:rsid w:val="000A1760"/>
    <w:rsid w:val="000D0505"/>
    <w:rsid w:val="000E3176"/>
    <w:rsid w:val="000E3B0F"/>
    <w:rsid w:val="000F13F4"/>
    <w:rsid w:val="00102967"/>
    <w:rsid w:val="00126044"/>
    <w:rsid w:val="0013279F"/>
    <w:rsid w:val="0013687C"/>
    <w:rsid w:val="00152425"/>
    <w:rsid w:val="00177D20"/>
    <w:rsid w:val="00185EBF"/>
    <w:rsid w:val="00193FE2"/>
    <w:rsid w:val="001A251A"/>
    <w:rsid w:val="001A533E"/>
    <w:rsid w:val="001B0AD8"/>
    <w:rsid w:val="001B543C"/>
    <w:rsid w:val="001C5679"/>
    <w:rsid w:val="001E23F3"/>
    <w:rsid w:val="001F521E"/>
    <w:rsid w:val="0022078E"/>
    <w:rsid w:val="002226BA"/>
    <w:rsid w:val="00223E06"/>
    <w:rsid w:val="00246005"/>
    <w:rsid w:val="00254D81"/>
    <w:rsid w:val="002644E1"/>
    <w:rsid w:val="00266F81"/>
    <w:rsid w:val="002D6DC3"/>
    <w:rsid w:val="002E72A2"/>
    <w:rsid w:val="00316D09"/>
    <w:rsid w:val="00321144"/>
    <w:rsid w:val="00327B0A"/>
    <w:rsid w:val="003413C3"/>
    <w:rsid w:val="00343F0C"/>
    <w:rsid w:val="00357452"/>
    <w:rsid w:val="003836C2"/>
    <w:rsid w:val="003A40B4"/>
    <w:rsid w:val="003B4AAE"/>
    <w:rsid w:val="003C3D56"/>
    <w:rsid w:val="003C6513"/>
    <w:rsid w:val="003E7F62"/>
    <w:rsid w:val="003F506D"/>
    <w:rsid w:val="004251EE"/>
    <w:rsid w:val="00432D23"/>
    <w:rsid w:val="004425D6"/>
    <w:rsid w:val="0045050B"/>
    <w:rsid w:val="004542F3"/>
    <w:rsid w:val="004B1D8C"/>
    <w:rsid w:val="004C2847"/>
    <w:rsid w:val="004D4CE3"/>
    <w:rsid w:val="004D70F1"/>
    <w:rsid w:val="00506BE7"/>
    <w:rsid w:val="00510DE1"/>
    <w:rsid w:val="005113A5"/>
    <w:rsid w:val="00513583"/>
    <w:rsid w:val="0052284C"/>
    <w:rsid w:val="00551F33"/>
    <w:rsid w:val="00565E52"/>
    <w:rsid w:val="00580AD9"/>
    <w:rsid w:val="005850CB"/>
    <w:rsid w:val="005A5EBE"/>
    <w:rsid w:val="005C1FD9"/>
    <w:rsid w:val="005C7AB3"/>
    <w:rsid w:val="005D1B76"/>
    <w:rsid w:val="005D5D19"/>
    <w:rsid w:val="005E6CF9"/>
    <w:rsid w:val="00602A48"/>
    <w:rsid w:val="006131FC"/>
    <w:rsid w:val="006225B0"/>
    <w:rsid w:val="00623FCE"/>
    <w:rsid w:val="00634D37"/>
    <w:rsid w:val="00635592"/>
    <w:rsid w:val="006938FE"/>
    <w:rsid w:val="006960A2"/>
    <w:rsid w:val="00696A47"/>
    <w:rsid w:val="006C1516"/>
    <w:rsid w:val="006D1415"/>
    <w:rsid w:val="006E0026"/>
    <w:rsid w:val="006F226D"/>
    <w:rsid w:val="0070006C"/>
    <w:rsid w:val="007149F0"/>
    <w:rsid w:val="00735843"/>
    <w:rsid w:val="00736D6E"/>
    <w:rsid w:val="007604F5"/>
    <w:rsid w:val="0076100D"/>
    <w:rsid w:val="00782D52"/>
    <w:rsid w:val="007A4E9B"/>
    <w:rsid w:val="007B1FE1"/>
    <w:rsid w:val="007B50EF"/>
    <w:rsid w:val="007D04F3"/>
    <w:rsid w:val="007D29AC"/>
    <w:rsid w:val="00807A5B"/>
    <w:rsid w:val="00821592"/>
    <w:rsid w:val="00826A71"/>
    <w:rsid w:val="008823BE"/>
    <w:rsid w:val="00892062"/>
    <w:rsid w:val="008A4F1B"/>
    <w:rsid w:val="008A59B2"/>
    <w:rsid w:val="008D4A7E"/>
    <w:rsid w:val="008D6476"/>
    <w:rsid w:val="00903B8A"/>
    <w:rsid w:val="00903C72"/>
    <w:rsid w:val="00907BD2"/>
    <w:rsid w:val="00925D51"/>
    <w:rsid w:val="00934542"/>
    <w:rsid w:val="0097689C"/>
    <w:rsid w:val="009A58A7"/>
    <w:rsid w:val="009D6CDD"/>
    <w:rsid w:val="009E016C"/>
    <w:rsid w:val="009F72F7"/>
    <w:rsid w:val="00A1526F"/>
    <w:rsid w:val="00A251EF"/>
    <w:rsid w:val="00A2646C"/>
    <w:rsid w:val="00A40899"/>
    <w:rsid w:val="00A41EA8"/>
    <w:rsid w:val="00A51DBC"/>
    <w:rsid w:val="00A70447"/>
    <w:rsid w:val="00A92586"/>
    <w:rsid w:val="00AA4964"/>
    <w:rsid w:val="00AB3DB2"/>
    <w:rsid w:val="00B04522"/>
    <w:rsid w:val="00B06B47"/>
    <w:rsid w:val="00B17C3A"/>
    <w:rsid w:val="00B21B2B"/>
    <w:rsid w:val="00B2744F"/>
    <w:rsid w:val="00B363E9"/>
    <w:rsid w:val="00B435B1"/>
    <w:rsid w:val="00B648CA"/>
    <w:rsid w:val="00B85E65"/>
    <w:rsid w:val="00B90126"/>
    <w:rsid w:val="00BA1A88"/>
    <w:rsid w:val="00C205B0"/>
    <w:rsid w:val="00C30EF8"/>
    <w:rsid w:val="00C33B34"/>
    <w:rsid w:val="00C476FF"/>
    <w:rsid w:val="00C70CBE"/>
    <w:rsid w:val="00C74478"/>
    <w:rsid w:val="00C846AF"/>
    <w:rsid w:val="00C90689"/>
    <w:rsid w:val="00CA316C"/>
    <w:rsid w:val="00CB7279"/>
    <w:rsid w:val="00CF1B1F"/>
    <w:rsid w:val="00D17465"/>
    <w:rsid w:val="00D216E8"/>
    <w:rsid w:val="00D37673"/>
    <w:rsid w:val="00D52A44"/>
    <w:rsid w:val="00D54CE3"/>
    <w:rsid w:val="00D57CE7"/>
    <w:rsid w:val="00D71C45"/>
    <w:rsid w:val="00D82549"/>
    <w:rsid w:val="00D85736"/>
    <w:rsid w:val="00DA1702"/>
    <w:rsid w:val="00DB0FE3"/>
    <w:rsid w:val="00DC5306"/>
    <w:rsid w:val="00DD311E"/>
    <w:rsid w:val="00DF3565"/>
    <w:rsid w:val="00DF4B87"/>
    <w:rsid w:val="00E053AC"/>
    <w:rsid w:val="00E10301"/>
    <w:rsid w:val="00E31334"/>
    <w:rsid w:val="00E320A8"/>
    <w:rsid w:val="00E41FF7"/>
    <w:rsid w:val="00E42D55"/>
    <w:rsid w:val="00E53E4D"/>
    <w:rsid w:val="00E74EEE"/>
    <w:rsid w:val="00E777B9"/>
    <w:rsid w:val="00E85559"/>
    <w:rsid w:val="00E870CE"/>
    <w:rsid w:val="00E879B2"/>
    <w:rsid w:val="00EA3B5F"/>
    <w:rsid w:val="00EC5EB7"/>
    <w:rsid w:val="00F01CD2"/>
    <w:rsid w:val="00F0456A"/>
    <w:rsid w:val="00F102DB"/>
    <w:rsid w:val="00F1723F"/>
    <w:rsid w:val="00F21FE9"/>
    <w:rsid w:val="00F23FFA"/>
    <w:rsid w:val="00F37A78"/>
    <w:rsid w:val="00F52503"/>
    <w:rsid w:val="00F5472C"/>
    <w:rsid w:val="00F6052B"/>
    <w:rsid w:val="00F667CA"/>
    <w:rsid w:val="00F948C2"/>
    <w:rsid w:val="00FA25C1"/>
    <w:rsid w:val="00FA5DDE"/>
    <w:rsid w:val="00FB13FF"/>
    <w:rsid w:val="00FB5E23"/>
    <w:rsid w:val="00FB62B5"/>
    <w:rsid w:val="00FC2226"/>
    <w:rsid w:val="00FD4ED0"/>
    <w:rsid w:val="00FF0378"/>
    <w:rsid w:val="00FF706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E39DBB"/>
  <w15:docId w15:val="{22B2F728-BC0F-42EA-8E07-62C85F74A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20A8"/>
    <w:pPr>
      <w:jc w:val="both"/>
    </w:pPr>
    <w:rPr>
      <w:rFonts w:ascii="Cambria" w:hAnsi="Cambria"/>
      <w:sz w:val="20"/>
    </w:rPr>
  </w:style>
  <w:style w:type="paragraph" w:styleId="Ttulo1">
    <w:name w:val="heading 1"/>
    <w:basedOn w:val="Normal"/>
    <w:next w:val="Normal"/>
    <w:link w:val="Ttulo1Car"/>
    <w:autoRedefine/>
    <w:uiPriority w:val="9"/>
    <w:qFormat/>
    <w:rsid w:val="00357452"/>
    <w:pPr>
      <w:keepNext/>
      <w:numPr>
        <w:numId w:val="3"/>
      </w:numPr>
      <w:pBdr>
        <w:top w:val="single" w:sz="12" w:space="6" w:color="A6A6A6" w:themeColor="background1" w:themeShade="A6"/>
      </w:pBdr>
      <w:spacing w:before="240" w:after="120"/>
      <w:jc w:val="left"/>
      <w:outlineLvl w:val="0"/>
    </w:pPr>
    <w:rPr>
      <w:rFonts w:eastAsia="Times New Roman" w:cs="Times New Roman"/>
      <w:b/>
      <w:bCs/>
      <w:sz w:val="22"/>
      <w:szCs w:val="20"/>
      <w:lang w:val="en-GB"/>
    </w:rPr>
  </w:style>
  <w:style w:type="paragraph" w:styleId="Ttulo2">
    <w:name w:val="heading 2"/>
    <w:basedOn w:val="Normal"/>
    <w:next w:val="Normal"/>
    <w:link w:val="Ttulo2Car"/>
    <w:uiPriority w:val="9"/>
    <w:unhideWhenUsed/>
    <w:qFormat/>
    <w:rsid w:val="00E320A8"/>
    <w:pPr>
      <w:numPr>
        <w:ilvl w:val="1"/>
        <w:numId w:val="3"/>
      </w:numPr>
      <w:spacing w:before="240" w:after="120"/>
      <w:jc w:val="left"/>
      <w:outlineLvl w:val="1"/>
    </w:pPr>
    <w:rPr>
      <w:rFonts w:eastAsia="Times New Roman" w:cs="Times New Roman"/>
      <w:b/>
      <w:bCs/>
      <w:szCs w:val="20"/>
    </w:rPr>
  </w:style>
  <w:style w:type="paragraph" w:styleId="Ttulo3">
    <w:name w:val="heading 3"/>
    <w:basedOn w:val="Normal"/>
    <w:next w:val="Normal"/>
    <w:link w:val="Ttulo3Car"/>
    <w:autoRedefine/>
    <w:uiPriority w:val="9"/>
    <w:unhideWhenUsed/>
    <w:qFormat/>
    <w:rsid w:val="00E320A8"/>
    <w:pPr>
      <w:keepNext/>
      <w:keepLines/>
      <w:numPr>
        <w:ilvl w:val="2"/>
        <w:numId w:val="3"/>
      </w:numPr>
      <w:spacing w:before="200" w:after="120"/>
      <w:outlineLvl w:val="2"/>
    </w:pPr>
    <w:rPr>
      <w:rFonts w:eastAsiaTheme="majorEastAsia" w:cstheme="majorBidi"/>
      <w:bCs/>
      <w:i/>
      <w:szCs w:val="20"/>
    </w:rPr>
  </w:style>
  <w:style w:type="paragraph" w:styleId="Ttulo4">
    <w:name w:val="heading 4"/>
    <w:basedOn w:val="Normal"/>
    <w:next w:val="Normal"/>
    <w:link w:val="Ttulo4Car"/>
    <w:uiPriority w:val="9"/>
    <w:semiHidden/>
    <w:unhideWhenUsed/>
    <w:qFormat/>
    <w:rsid w:val="00E320A8"/>
    <w:pPr>
      <w:keepNext/>
      <w:keepLines/>
      <w:spacing w:before="240" w:after="120"/>
      <w:jc w:val="left"/>
      <w:outlineLvl w:val="3"/>
    </w:pPr>
    <w:rPr>
      <w:rFonts w:eastAsiaTheme="majorEastAsia" w:cstheme="majorBidi"/>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57452"/>
    <w:rPr>
      <w:rFonts w:ascii="Cambria" w:eastAsia="Times New Roman" w:hAnsi="Cambria" w:cs="Times New Roman"/>
      <w:b/>
      <w:bCs/>
      <w:szCs w:val="20"/>
      <w:lang w:val="en-GB"/>
    </w:rPr>
  </w:style>
  <w:style w:type="character" w:customStyle="1" w:styleId="Ttulo2Car">
    <w:name w:val="Título 2 Car"/>
    <w:basedOn w:val="Fuentedeprrafopredeter"/>
    <w:link w:val="Ttulo2"/>
    <w:uiPriority w:val="9"/>
    <w:rsid w:val="00E320A8"/>
    <w:rPr>
      <w:rFonts w:ascii="Cambria" w:eastAsia="Times New Roman" w:hAnsi="Cambria" w:cs="Times New Roman"/>
      <w:b/>
      <w:bCs/>
      <w:sz w:val="20"/>
      <w:szCs w:val="20"/>
    </w:rPr>
  </w:style>
  <w:style w:type="character" w:customStyle="1" w:styleId="Ttulo3Car">
    <w:name w:val="Título 3 Car"/>
    <w:basedOn w:val="Fuentedeprrafopredeter"/>
    <w:link w:val="Ttulo3"/>
    <w:uiPriority w:val="9"/>
    <w:rsid w:val="00E320A8"/>
    <w:rPr>
      <w:rFonts w:ascii="Cambria" w:eastAsiaTheme="majorEastAsia" w:hAnsi="Cambria" w:cstheme="majorBidi"/>
      <w:bCs/>
      <w:i/>
      <w:sz w:val="20"/>
      <w:szCs w:val="20"/>
    </w:rPr>
  </w:style>
  <w:style w:type="character" w:customStyle="1" w:styleId="Ttulo4Car">
    <w:name w:val="Título 4 Car"/>
    <w:basedOn w:val="Fuentedeprrafopredeter"/>
    <w:link w:val="Ttulo4"/>
    <w:uiPriority w:val="9"/>
    <w:semiHidden/>
    <w:rsid w:val="00E320A8"/>
    <w:rPr>
      <w:rFonts w:ascii="Cambria" w:eastAsiaTheme="majorEastAsia" w:hAnsi="Cambria" w:cstheme="majorBidi"/>
      <w:bCs/>
      <w:iCs/>
      <w:sz w:val="20"/>
    </w:rPr>
  </w:style>
  <w:style w:type="paragraph" w:styleId="Piedepgina">
    <w:name w:val="footer"/>
    <w:basedOn w:val="Normal"/>
    <w:link w:val="PiedepginaCar"/>
    <w:uiPriority w:val="99"/>
    <w:unhideWhenUsed/>
    <w:rsid w:val="001F521E"/>
    <w:pPr>
      <w:tabs>
        <w:tab w:val="center" w:pos="4680"/>
        <w:tab w:val="right" w:pos="9360"/>
      </w:tabs>
      <w:spacing w:after="0"/>
    </w:pPr>
  </w:style>
  <w:style w:type="character" w:customStyle="1" w:styleId="PiedepginaCar">
    <w:name w:val="Pie de página Car"/>
    <w:basedOn w:val="Fuentedeprrafopredeter"/>
    <w:link w:val="Piedepgina"/>
    <w:uiPriority w:val="99"/>
    <w:rsid w:val="001F521E"/>
    <w:rPr>
      <w:rFonts w:ascii="Cambria" w:hAnsi="Cambria"/>
      <w:sz w:val="20"/>
    </w:rPr>
  </w:style>
  <w:style w:type="paragraph" w:customStyle="1" w:styleId="Journalnameinheader">
    <w:name w:val="Journal name in header"/>
    <w:basedOn w:val="Normal"/>
    <w:qFormat/>
    <w:rsid w:val="001F521E"/>
    <w:pPr>
      <w:widowControl w:val="0"/>
      <w:spacing w:before="60" w:after="0"/>
      <w:ind w:firstLine="230"/>
      <w:jc w:val="center"/>
    </w:pPr>
    <w:rPr>
      <w:rFonts w:eastAsia="Times New Roman" w:cs="Times New Roman"/>
      <w:color w:val="000099"/>
      <w:sz w:val="19"/>
      <w:szCs w:val="18"/>
    </w:rPr>
  </w:style>
  <w:style w:type="paragraph" w:customStyle="1" w:styleId="a-Articletype">
    <w:name w:val="a-Article type"/>
    <w:basedOn w:val="Normal"/>
    <w:next w:val="b-Articletitle"/>
    <w:qFormat/>
    <w:rsid w:val="00934542"/>
    <w:rPr>
      <w:smallCaps/>
      <w:spacing w:val="20"/>
    </w:rPr>
  </w:style>
  <w:style w:type="paragraph" w:customStyle="1" w:styleId="b-Articletitle">
    <w:name w:val="b-Article title"/>
    <w:next w:val="c-Authorsname"/>
    <w:qFormat/>
    <w:rsid w:val="00316D09"/>
    <w:pPr>
      <w:spacing w:before="240"/>
    </w:pPr>
    <w:rPr>
      <w:rFonts w:ascii="Cambria" w:hAnsi="Cambria"/>
      <w:sz w:val="28"/>
    </w:rPr>
  </w:style>
  <w:style w:type="paragraph" w:customStyle="1" w:styleId="c-Authorsname">
    <w:name w:val="c-Authors name"/>
    <w:basedOn w:val="b-Articletitle"/>
    <w:next w:val="d-Affiliations"/>
    <w:qFormat/>
    <w:rsid w:val="00513583"/>
    <w:pPr>
      <w:spacing w:before="0"/>
    </w:pPr>
    <w:rPr>
      <w:sz w:val="22"/>
    </w:rPr>
  </w:style>
  <w:style w:type="paragraph" w:customStyle="1" w:styleId="d-Affiliations">
    <w:name w:val="d-Affiliations"/>
    <w:basedOn w:val="c-Authorsname"/>
    <w:qFormat/>
    <w:rsid w:val="00185EBF"/>
    <w:pPr>
      <w:spacing w:after="0" w:line="240" w:lineRule="exact"/>
    </w:pPr>
    <w:rPr>
      <w:i/>
      <w:sz w:val="20"/>
    </w:rPr>
  </w:style>
  <w:style w:type="paragraph" w:customStyle="1" w:styleId="f-publicationhistory">
    <w:name w:val="f-publication history"/>
    <w:basedOn w:val="d-Affiliations"/>
    <w:next w:val="g-DOIinfo"/>
    <w:qFormat/>
    <w:rsid w:val="00185EBF"/>
    <w:pPr>
      <w:spacing w:before="240" w:after="240"/>
    </w:pPr>
    <w:rPr>
      <w:i w:val="0"/>
    </w:rPr>
  </w:style>
  <w:style w:type="paragraph" w:customStyle="1" w:styleId="g-DOIinfo">
    <w:name w:val="g-DOI info"/>
    <w:basedOn w:val="f-publicationhistory"/>
    <w:next w:val="h-Abstracttitle"/>
    <w:qFormat/>
    <w:rsid w:val="00FB5E23"/>
    <w:pPr>
      <w:spacing w:before="0" w:line="240" w:lineRule="auto"/>
    </w:pPr>
  </w:style>
  <w:style w:type="paragraph" w:customStyle="1" w:styleId="h-Abstracttitle">
    <w:name w:val="h-Abstract title"/>
    <w:basedOn w:val="g-DOIinfo"/>
    <w:next w:val="i-Abstracttext"/>
    <w:qFormat/>
    <w:rsid w:val="009F72F7"/>
    <w:pPr>
      <w:pBdr>
        <w:top w:val="single" w:sz="12" w:space="5" w:color="A6A6A6" w:themeColor="background1" w:themeShade="A6"/>
      </w:pBdr>
      <w:spacing w:after="120"/>
    </w:pPr>
    <w:rPr>
      <w:b/>
      <w:sz w:val="22"/>
    </w:rPr>
  </w:style>
  <w:style w:type="paragraph" w:customStyle="1" w:styleId="i-Abstracttext">
    <w:name w:val="i-Abstract text"/>
    <w:basedOn w:val="Normal"/>
    <w:qFormat/>
    <w:rsid w:val="00D57CE7"/>
  </w:style>
  <w:style w:type="paragraph" w:customStyle="1" w:styleId="n-generalsubheadings">
    <w:name w:val="n-general sub headings"/>
    <w:basedOn w:val="Normal"/>
    <w:next w:val="Normal"/>
    <w:qFormat/>
    <w:rsid w:val="002226BA"/>
    <w:pPr>
      <w:spacing w:before="240" w:after="120"/>
      <w:jc w:val="left"/>
    </w:pPr>
    <w:rPr>
      <w:i/>
      <w:sz w:val="22"/>
    </w:rPr>
  </w:style>
  <w:style w:type="table" w:styleId="Tablaconcuadrcula">
    <w:name w:val="Table Grid"/>
    <w:basedOn w:val="Tablanormal"/>
    <w:uiPriority w:val="59"/>
    <w:rsid w:val="00185EBF"/>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j-Keywords">
    <w:name w:val="j-Keywords"/>
    <w:basedOn w:val="Normal"/>
    <w:qFormat/>
    <w:rsid w:val="00E320A8"/>
    <w:rPr>
      <w:b/>
      <w:sz w:val="22"/>
    </w:rPr>
  </w:style>
  <w:style w:type="paragraph" w:customStyle="1" w:styleId="e-Articleinfomation">
    <w:name w:val="e-Article infomation"/>
    <w:basedOn w:val="f-publicationhistory"/>
    <w:qFormat/>
    <w:rsid w:val="0097689C"/>
    <w:rPr>
      <w:rFonts w:eastAsia="SimSun"/>
      <w:noProof/>
      <w:lang w:eastAsia="zh-CN"/>
    </w:rPr>
  </w:style>
  <w:style w:type="paragraph" w:customStyle="1" w:styleId="q-References">
    <w:name w:val="q-References"/>
    <w:basedOn w:val="Normal"/>
    <w:qFormat/>
    <w:rsid w:val="00A251EF"/>
    <w:pPr>
      <w:numPr>
        <w:numId w:val="6"/>
      </w:numPr>
      <w:spacing w:after="120"/>
      <w:ind w:left="576" w:hanging="576"/>
    </w:pPr>
    <w:rPr>
      <w:rFonts w:eastAsia="Times New Roman" w:cs="Times New Roman"/>
      <w:szCs w:val="20"/>
    </w:rPr>
  </w:style>
  <w:style w:type="paragraph" w:customStyle="1" w:styleId="l-CaptionsTables">
    <w:name w:val="l-Captions Tables"/>
    <w:basedOn w:val="Normal"/>
    <w:qFormat/>
    <w:rsid w:val="00223E06"/>
    <w:pPr>
      <w:keepNext/>
      <w:spacing w:before="120"/>
    </w:pPr>
    <w:rPr>
      <w:rFonts w:eastAsia="Times New Roman" w:cs="Times New Roman"/>
      <w:b/>
      <w:szCs w:val="20"/>
    </w:rPr>
  </w:style>
  <w:style w:type="paragraph" w:customStyle="1" w:styleId="s-headerotherpages">
    <w:name w:val="s-header other pages"/>
    <w:basedOn w:val="Normal"/>
    <w:qFormat/>
    <w:rsid w:val="007D04F3"/>
    <w:pPr>
      <w:tabs>
        <w:tab w:val="center" w:pos="4680"/>
        <w:tab w:val="right" w:pos="9360"/>
      </w:tabs>
      <w:spacing w:after="120"/>
      <w:jc w:val="center"/>
    </w:pPr>
  </w:style>
  <w:style w:type="paragraph" w:styleId="Textonotapie">
    <w:name w:val="footnote text"/>
    <w:basedOn w:val="Normal"/>
    <w:link w:val="TextonotapieCar"/>
    <w:unhideWhenUsed/>
    <w:rsid w:val="00F5472C"/>
    <w:pPr>
      <w:spacing w:after="0"/>
    </w:pPr>
    <w:rPr>
      <w:szCs w:val="20"/>
    </w:rPr>
  </w:style>
  <w:style w:type="character" w:customStyle="1" w:styleId="TextonotapieCar">
    <w:name w:val="Texto nota pie Car"/>
    <w:basedOn w:val="Fuentedeprrafopredeter"/>
    <w:link w:val="Textonotapie"/>
    <w:rsid w:val="00F5472C"/>
    <w:rPr>
      <w:rFonts w:ascii="Times New Roman" w:hAnsi="Times New Roman"/>
      <w:sz w:val="20"/>
      <w:szCs w:val="20"/>
    </w:rPr>
  </w:style>
  <w:style w:type="character" w:styleId="Refdenotaalpie">
    <w:name w:val="footnote reference"/>
    <w:basedOn w:val="Fuentedeprrafopredeter"/>
    <w:semiHidden/>
    <w:unhideWhenUsed/>
    <w:rsid w:val="00F5472C"/>
    <w:rPr>
      <w:vertAlign w:val="superscript"/>
    </w:rPr>
  </w:style>
  <w:style w:type="paragraph" w:customStyle="1" w:styleId="o-Table">
    <w:name w:val="o-Table"/>
    <w:basedOn w:val="Normal"/>
    <w:qFormat/>
    <w:rsid w:val="00736D6E"/>
    <w:pPr>
      <w:spacing w:before="60" w:after="60"/>
    </w:pPr>
    <w:rPr>
      <w:lang w:val="en-GB"/>
    </w:rPr>
  </w:style>
  <w:style w:type="paragraph" w:customStyle="1" w:styleId="r-Footnoteforpage">
    <w:name w:val="r-Foot note for page"/>
    <w:basedOn w:val="Normal"/>
    <w:qFormat/>
    <w:rsid w:val="0076100D"/>
    <w:pPr>
      <w:pBdr>
        <w:top w:val="single" w:sz="4" w:space="1" w:color="auto"/>
      </w:pBdr>
      <w:spacing w:before="120" w:after="0"/>
      <w:contextualSpacing/>
      <w:jc w:val="left"/>
    </w:pPr>
    <w:rPr>
      <w:rFonts w:eastAsia="SimSun" w:cs="Times New Roman"/>
      <w:noProof/>
      <w:sz w:val="18"/>
      <w:szCs w:val="20"/>
    </w:rPr>
  </w:style>
  <w:style w:type="paragraph" w:customStyle="1" w:styleId="p-Tablefootnote">
    <w:name w:val="p-Table footnote"/>
    <w:basedOn w:val="Normal"/>
    <w:qFormat/>
    <w:rsid w:val="005A5EBE"/>
    <w:pPr>
      <w:jc w:val="center"/>
    </w:pPr>
    <w:rPr>
      <w:sz w:val="16"/>
      <w:lang w:val="en-GB"/>
    </w:rPr>
  </w:style>
  <w:style w:type="paragraph" w:customStyle="1" w:styleId="m-GeneralHeading1">
    <w:name w:val="m-General Heading 1"/>
    <w:basedOn w:val="Ttulo1"/>
    <w:qFormat/>
    <w:rsid w:val="007B50EF"/>
    <w:pPr>
      <w:numPr>
        <w:numId w:val="0"/>
      </w:numPr>
    </w:pPr>
  </w:style>
  <w:style w:type="paragraph" w:styleId="Textodeglobo">
    <w:name w:val="Balloon Text"/>
    <w:basedOn w:val="Normal"/>
    <w:link w:val="TextodegloboCar"/>
    <w:uiPriority w:val="99"/>
    <w:semiHidden/>
    <w:unhideWhenUsed/>
    <w:rsid w:val="00357452"/>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7452"/>
    <w:rPr>
      <w:rFonts w:ascii="Tahoma" w:hAnsi="Tahoma" w:cs="Tahoma"/>
      <w:sz w:val="16"/>
      <w:szCs w:val="16"/>
    </w:rPr>
  </w:style>
  <w:style w:type="paragraph" w:customStyle="1" w:styleId="k-CaptionFigure">
    <w:name w:val="k-Caption Figure"/>
    <w:basedOn w:val="l-CaptionsTables"/>
    <w:qFormat/>
    <w:rsid w:val="00343F0C"/>
    <w:pPr>
      <w:jc w:val="center"/>
    </w:pPr>
    <w:rPr>
      <w:lang w:val="en-GB"/>
    </w:rPr>
  </w:style>
  <w:style w:type="paragraph" w:customStyle="1" w:styleId="t-Copyrightinfo">
    <w:name w:val="t-Copyright info"/>
    <w:basedOn w:val="p-Tablefootnote"/>
    <w:next w:val="Normal"/>
    <w:qFormat/>
    <w:rsid w:val="009F72F7"/>
    <w:pPr>
      <w:spacing w:before="120"/>
    </w:pPr>
    <w:rPr>
      <w:sz w:val="15"/>
    </w:rPr>
  </w:style>
  <w:style w:type="character" w:styleId="Hipervnculovisitado">
    <w:name w:val="FollowedHyperlink"/>
    <w:basedOn w:val="Fuentedeprrafopredeter"/>
    <w:uiPriority w:val="99"/>
    <w:semiHidden/>
    <w:unhideWhenUsed/>
    <w:rsid w:val="00B06B47"/>
    <w:rPr>
      <w:color w:val="800080" w:themeColor="followedHyperlink"/>
      <w:u w:val="single"/>
    </w:rPr>
  </w:style>
  <w:style w:type="character" w:styleId="Hipervnculo">
    <w:name w:val="Hyperlink"/>
    <w:rsid w:val="00B85E65"/>
    <w:rPr>
      <w:color w:val="0563C1"/>
      <w:u w:val="single"/>
    </w:rPr>
  </w:style>
  <w:style w:type="character" w:customStyle="1" w:styleId="UnresolvedMention">
    <w:name w:val="Unresolved Mention"/>
    <w:basedOn w:val="Fuentedeprrafopredeter"/>
    <w:uiPriority w:val="99"/>
    <w:semiHidden/>
    <w:unhideWhenUsed/>
    <w:rsid w:val="008823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084739">
      <w:bodyDiv w:val="1"/>
      <w:marLeft w:val="0"/>
      <w:marRight w:val="0"/>
      <w:marTop w:val="0"/>
      <w:marBottom w:val="0"/>
      <w:divBdr>
        <w:top w:val="none" w:sz="0" w:space="0" w:color="auto"/>
        <w:left w:val="none" w:sz="0" w:space="0" w:color="auto"/>
        <w:bottom w:val="none" w:sz="0" w:space="0" w:color="auto"/>
        <w:right w:val="none" w:sz="0" w:space="0" w:color="auto"/>
      </w:divBdr>
    </w:div>
    <w:div w:id="171318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image" Target="media/image8.png"/><Relationship Id="rId26" Type="http://schemas.openxmlformats.org/officeDocument/2006/relationships/hyperlink" Target="mailto:erandi.chandrasekare@standards.org.au" TargetMode="Externa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image" Target="media/image13.png"/><Relationship Id="rId28"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hyperlink" Target="http://creativecommons.org/licenses/by/4.0/deed.en_U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6.png"/></Relationships>
</file>

<file path=word/_rels/settings.xml.rels><?xml version="1.0" encoding="UTF-8" standalone="yes"?>
<Relationships xmlns="http://schemas.openxmlformats.org/package/2006/relationships"><Relationship Id="rId1" Type="http://schemas.openxmlformats.org/officeDocument/2006/relationships/attachedTemplate" Target="file:///F:\Templets%20folder\GSCAET%20Article%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0A29CF-3051-4B46-A86E-4AD3CAFE1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GSCAET Article template</Template>
  <TotalTime>1</TotalTime>
  <Pages>14</Pages>
  <Words>5224</Words>
  <Characters>28734</Characters>
  <Application>Microsoft Office Word</Application>
  <DocSecurity>0</DocSecurity>
  <Lines>239</Lines>
  <Paragraphs>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Alejandro Pasten</cp:lastModifiedBy>
  <cp:revision>2</cp:revision>
  <cp:lastPrinted>2021-01-02T18:02:00Z</cp:lastPrinted>
  <dcterms:created xsi:type="dcterms:W3CDTF">2024-03-19T14:11:00Z</dcterms:created>
  <dcterms:modified xsi:type="dcterms:W3CDTF">2024-03-19T14:11:00Z</dcterms:modified>
</cp:coreProperties>
</file>