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31F" w:rsidRDefault="00D411AC">
      <w:pPr>
        <w:spacing w:after="0" w:line="240" w:lineRule="auto"/>
        <w:jc w:val="center"/>
        <w:rPr>
          <w:rFonts w:ascii="Arial" w:eastAsia="Arial" w:hAnsi="Arial" w:cs="Arial"/>
          <w:b/>
          <w:sz w:val="24"/>
          <w:szCs w:val="24"/>
        </w:rPr>
      </w:pPr>
      <w:bookmarkStart w:id="0" w:name="_GoBack"/>
      <w:bookmarkEnd w:id="0"/>
      <w:r>
        <w:rPr>
          <w:rFonts w:ascii="Arial" w:eastAsia="Arial" w:hAnsi="Arial" w:cs="Arial"/>
          <w:b/>
          <w:sz w:val="24"/>
          <w:szCs w:val="24"/>
        </w:rPr>
        <w:t>USO DE BIOCARBÓN EN LA ESTIMULACIÓN DE LA MICROBIOTA DEL SUELO Y EL MANEJO DEL CARBÓN DEL MANÍ (</w:t>
      </w:r>
      <w:r>
        <w:rPr>
          <w:rFonts w:ascii="Arial" w:eastAsia="Arial" w:hAnsi="Arial" w:cs="Arial"/>
          <w:b/>
          <w:i/>
          <w:sz w:val="24"/>
          <w:szCs w:val="24"/>
        </w:rPr>
        <w:t>THECAPHORA FREZII</w:t>
      </w:r>
      <w:r>
        <w:rPr>
          <w:rFonts w:ascii="Arial" w:eastAsia="Arial" w:hAnsi="Arial" w:cs="Arial"/>
          <w:b/>
          <w:sz w:val="24"/>
          <w:szCs w:val="24"/>
        </w:rPr>
        <w:t>)</w:t>
      </w:r>
    </w:p>
    <w:p w:rsidR="005F531F" w:rsidRDefault="00D411AC">
      <w:pPr>
        <w:spacing w:after="0" w:line="240" w:lineRule="auto"/>
        <w:jc w:val="center"/>
        <w:rPr>
          <w:rFonts w:ascii="Arial" w:eastAsia="Arial" w:hAnsi="Arial" w:cs="Arial"/>
          <w:sz w:val="16"/>
          <w:szCs w:val="16"/>
        </w:rPr>
      </w:pPr>
      <w:proofErr w:type="spellStart"/>
      <w:r>
        <w:rPr>
          <w:rFonts w:ascii="Arial" w:eastAsia="Arial" w:hAnsi="Arial" w:cs="Arial"/>
          <w:sz w:val="16"/>
          <w:szCs w:val="16"/>
        </w:rPr>
        <w:t>Serri</w:t>
      </w:r>
      <w:proofErr w:type="spellEnd"/>
      <w:r>
        <w:rPr>
          <w:rFonts w:ascii="Arial" w:eastAsia="Arial" w:hAnsi="Arial" w:cs="Arial"/>
          <w:sz w:val="16"/>
          <w:szCs w:val="16"/>
        </w:rPr>
        <w:t xml:space="preserve"> DL</w:t>
      </w:r>
      <w:r>
        <w:rPr>
          <w:rFonts w:ascii="Arial" w:eastAsia="Arial" w:hAnsi="Arial" w:cs="Arial"/>
          <w:sz w:val="16"/>
          <w:szCs w:val="16"/>
          <w:vertAlign w:val="superscript"/>
        </w:rPr>
        <w:t>1,2,3*</w:t>
      </w:r>
      <w:r>
        <w:rPr>
          <w:rFonts w:ascii="Arial" w:eastAsia="Arial" w:hAnsi="Arial" w:cs="Arial"/>
          <w:sz w:val="16"/>
          <w:szCs w:val="16"/>
        </w:rPr>
        <w:t xml:space="preserve">, </w:t>
      </w:r>
      <w:proofErr w:type="spellStart"/>
      <w:r>
        <w:rPr>
          <w:rFonts w:ascii="Arial" w:eastAsia="Arial" w:hAnsi="Arial" w:cs="Arial"/>
          <w:sz w:val="16"/>
          <w:szCs w:val="16"/>
        </w:rPr>
        <w:t>Guzzo</w:t>
      </w:r>
      <w:proofErr w:type="spellEnd"/>
      <w:r>
        <w:rPr>
          <w:rFonts w:ascii="Arial" w:eastAsia="Arial" w:hAnsi="Arial" w:cs="Arial"/>
          <w:sz w:val="16"/>
          <w:szCs w:val="16"/>
        </w:rPr>
        <w:t xml:space="preserve"> MC</w:t>
      </w:r>
      <w:r>
        <w:rPr>
          <w:rFonts w:ascii="Arial" w:eastAsia="Arial" w:hAnsi="Arial" w:cs="Arial"/>
          <w:sz w:val="16"/>
          <w:szCs w:val="16"/>
          <w:vertAlign w:val="superscript"/>
        </w:rPr>
        <w:t>1,3,4</w:t>
      </w:r>
      <w:r>
        <w:rPr>
          <w:rFonts w:ascii="Arial" w:eastAsia="Arial" w:hAnsi="Arial" w:cs="Arial"/>
          <w:sz w:val="16"/>
          <w:szCs w:val="16"/>
        </w:rPr>
        <w:t xml:space="preserve">,  </w:t>
      </w:r>
      <w:proofErr w:type="spellStart"/>
      <w:r>
        <w:rPr>
          <w:rFonts w:ascii="Arial" w:eastAsia="Arial" w:hAnsi="Arial" w:cs="Arial"/>
          <w:sz w:val="16"/>
          <w:szCs w:val="16"/>
        </w:rPr>
        <w:t>Bernardi</w:t>
      </w:r>
      <w:proofErr w:type="spellEnd"/>
      <w:r>
        <w:rPr>
          <w:rFonts w:ascii="Arial" w:eastAsia="Arial" w:hAnsi="Arial" w:cs="Arial"/>
          <w:sz w:val="16"/>
          <w:szCs w:val="16"/>
        </w:rPr>
        <w:t xml:space="preserve"> Lima N</w:t>
      </w:r>
      <w:r>
        <w:rPr>
          <w:rFonts w:ascii="Arial" w:eastAsia="Arial" w:hAnsi="Arial" w:cs="Arial"/>
          <w:sz w:val="16"/>
          <w:szCs w:val="16"/>
          <w:vertAlign w:val="superscript"/>
        </w:rPr>
        <w:t>1,2,3</w:t>
      </w:r>
      <w:r>
        <w:rPr>
          <w:rFonts w:ascii="Arial" w:eastAsia="Arial" w:hAnsi="Arial" w:cs="Arial"/>
          <w:sz w:val="16"/>
          <w:szCs w:val="16"/>
        </w:rPr>
        <w:t xml:space="preserve">, </w:t>
      </w:r>
      <w:proofErr w:type="spellStart"/>
      <w:r>
        <w:rPr>
          <w:rFonts w:ascii="Arial" w:eastAsia="Arial" w:hAnsi="Arial" w:cs="Arial"/>
          <w:sz w:val="16"/>
          <w:szCs w:val="16"/>
        </w:rPr>
        <w:t>Milesi</w:t>
      </w:r>
      <w:proofErr w:type="spellEnd"/>
      <w:r>
        <w:rPr>
          <w:rFonts w:ascii="Arial" w:eastAsia="Arial" w:hAnsi="Arial" w:cs="Arial"/>
          <w:sz w:val="16"/>
          <w:szCs w:val="16"/>
        </w:rPr>
        <w:t xml:space="preserve"> L</w:t>
      </w:r>
      <w:r>
        <w:rPr>
          <w:rFonts w:ascii="Arial" w:eastAsia="Arial" w:hAnsi="Arial" w:cs="Arial"/>
          <w:sz w:val="16"/>
          <w:szCs w:val="16"/>
          <w:vertAlign w:val="superscript"/>
        </w:rPr>
        <w:t>5</w:t>
      </w:r>
      <w:r>
        <w:rPr>
          <w:rFonts w:ascii="Arial" w:eastAsia="Arial" w:hAnsi="Arial" w:cs="Arial"/>
          <w:sz w:val="16"/>
          <w:szCs w:val="16"/>
        </w:rPr>
        <w:t xml:space="preserve">, </w:t>
      </w:r>
      <w:proofErr w:type="spellStart"/>
      <w:r>
        <w:rPr>
          <w:rFonts w:ascii="Arial" w:eastAsia="Arial" w:hAnsi="Arial" w:cs="Arial"/>
          <w:sz w:val="16"/>
          <w:szCs w:val="16"/>
        </w:rPr>
        <w:t>Andriulo</w:t>
      </w:r>
      <w:proofErr w:type="spellEnd"/>
      <w:r>
        <w:rPr>
          <w:rFonts w:ascii="Arial" w:eastAsia="Arial" w:hAnsi="Arial" w:cs="Arial"/>
          <w:sz w:val="16"/>
          <w:szCs w:val="16"/>
        </w:rPr>
        <w:t xml:space="preserve"> A</w:t>
      </w:r>
      <w:r>
        <w:rPr>
          <w:rFonts w:ascii="Arial" w:eastAsia="Arial" w:hAnsi="Arial" w:cs="Arial"/>
          <w:sz w:val="16"/>
          <w:szCs w:val="16"/>
          <w:vertAlign w:val="superscript"/>
        </w:rPr>
        <w:t>5</w:t>
      </w:r>
      <w:r>
        <w:rPr>
          <w:rFonts w:ascii="Arial" w:eastAsia="Arial" w:hAnsi="Arial" w:cs="Arial"/>
          <w:sz w:val="16"/>
          <w:szCs w:val="16"/>
        </w:rPr>
        <w:t xml:space="preserve">, </w:t>
      </w:r>
      <w:proofErr w:type="spellStart"/>
      <w:r>
        <w:rPr>
          <w:rFonts w:ascii="Arial" w:eastAsia="Arial" w:hAnsi="Arial" w:cs="Arial"/>
          <w:sz w:val="16"/>
          <w:szCs w:val="16"/>
        </w:rPr>
        <w:t>Fermanelli</w:t>
      </w:r>
      <w:proofErr w:type="spellEnd"/>
      <w:r>
        <w:rPr>
          <w:rFonts w:ascii="Arial" w:eastAsia="Arial" w:hAnsi="Arial" w:cs="Arial"/>
          <w:sz w:val="16"/>
          <w:szCs w:val="16"/>
        </w:rPr>
        <w:t xml:space="preserve"> C</w:t>
      </w:r>
      <w:r>
        <w:rPr>
          <w:rFonts w:ascii="Arial" w:eastAsia="Arial" w:hAnsi="Arial" w:cs="Arial"/>
          <w:sz w:val="16"/>
          <w:szCs w:val="16"/>
          <w:vertAlign w:val="superscript"/>
        </w:rPr>
        <w:t>3,6</w:t>
      </w:r>
      <w:r>
        <w:rPr>
          <w:rFonts w:ascii="Arial" w:eastAsia="Arial" w:hAnsi="Arial" w:cs="Arial"/>
          <w:sz w:val="16"/>
          <w:szCs w:val="16"/>
        </w:rPr>
        <w:t xml:space="preserve">, </w:t>
      </w:r>
      <w:proofErr w:type="spellStart"/>
      <w:r>
        <w:rPr>
          <w:rFonts w:ascii="Arial" w:eastAsia="Arial" w:hAnsi="Arial" w:cs="Arial"/>
          <w:sz w:val="16"/>
          <w:szCs w:val="16"/>
        </w:rPr>
        <w:t>Saux</w:t>
      </w:r>
      <w:proofErr w:type="spellEnd"/>
      <w:r>
        <w:rPr>
          <w:rFonts w:ascii="Arial" w:eastAsia="Arial" w:hAnsi="Arial" w:cs="Arial"/>
          <w:sz w:val="16"/>
          <w:szCs w:val="16"/>
        </w:rPr>
        <w:t xml:space="preserve"> C.</w:t>
      </w:r>
      <w:r>
        <w:rPr>
          <w:rFonts w:ascii="Arial" w:eastAsia="Arial" w:hAnsi="Arial" w:cs="Arial"/>
          <w:sz w:val="16"/>
          <w:szCs w:val="16"/>
          <w:vertAlign w:val="superscript"/>
        </w:rPr>
        <w:t>3,6</w:t>
      </w:r>
      <w:r>
        <w:rPr>
          <w:rFonts w:ascii="Arial" w:eastAsia="Arial" w:hAnsi="Arial" w:cs="Arial"/>
          <w:sz w:val="16"/>
          <w:szCs w:val="16"/>
        </w:rPr>
        <w:t xml:space="preserve">, </w:t>
      </w:r>
      <w:proofErr w:type="spellStart"/>
      <w:r>
        <w:rPr>
          <w:rFonts w:ascii="Arial" w:eastAsia="Arial" w:hAnsi="Arial" w:cs="Arial"/>
          <w:sz w:val="16"/>
          <w:szCs w:val="16"/>
        </w:rPr>
        <w:t>Meriles</w:t>
      </w:r>
      <w:proofErr w:type="spellEnd"/>
      <w:r>
        <w:rPr>
          <w:rFonts w:ascii="Arial" w:eastAsia="Arial" w:hAnsi="Arial" w:cs="Arial"/>
          <w:sz w:val="16"/>
          <w:szCs w:val="16"/>
        </w:rPr>
        <w:t xml:space="preserve"> J</w:t>
      </w:r>
      <w:r>
        <w:rPr>
          <w:rFonts w:ascii="Arial" w:eastAsia="Arial" w:hAnsi="Arial" w:cs="Arial"/>
          <w:sz w:val="16"/>
          <w:szCs w:val="16"/>
          <w:vertAlign w:val="superscript"/>
        </w:rPr>
        <w:t>3,7</w:t>
      </w:r>
      <w:r>
        <w:rPr>
          <w:rFonts w:ascii="Arial" w:eastAsia="Arial" w:hAnsi="Arial" w:cs="Arial"/>
          <w:sz w:val="16"/>
          <w:szCs w:val="16"/>
        </w:rPr>
        <w:t>, Vargas Gi, S</w:t>
      </w:r>
      <w:r>
        <w:rPr>
          <w:rFonts w:ascii="Arial" w:eastAsia="Arial" w:hAnsi="Arial" w:cs="Arial"/>
          <w:sz w:val="16"/>
          <w:szCs w:val="16"/>
          <w:vertAlign w:val="superscript"/>
        </w:rPr>
        <w:t>1,2,3</w:t>
      </w:r>
      <w:r>
        <w:rPr>
          <w:rFonts w:ascii="Arial" w:eastAsia="Arial" w:hAnsi="Arial" w:cs="Arial"/>
          <w:sz w:val="16"/>
          <w:szCs w:val="16"/>
        </w:rPr>
        <w:t>.</w:t>
      </w:r>
    </w:p>
    <w:p w:rsidR="005F531F" w:rsidRDefault="00D411AC">
      <w:pPr>
        <w:spacing w:after="0" w:line="240" w:lineRule="auto"/>
        <w:jc w:val="center"/>
        <w:rPr>
          <w:rFonts w:ascii="Arial" w:eastAsia="Arial" w:hAnsi="Arial" w:cs="Arial"/>
          <w:b/>
          <w:sz w:val="20"/>
          <w:szCs w:val="20"/>
        </w:rPr>
      </w:pPr>
      <w:r>
        <w:rPr>
          <w:rFonts w:ascii="Arial" w:eastAsia="Arial" w:hAnsi="Arial" w:cs="Arial"/>
          <w:sz w:val="16"/>
          <w:szCs w:val="16"/>
          <w:vertAlign w:val="superscript"/>
        </w:rPr>
        <w:t>1</w:t>
      </w:r>
      <w:r>
        <w:rPr>
          <w:rFonts w:ascii="Arial" w:eastAsia="Arial" w:hAnsi="Arial" w:cs="Arial"/>
          <w:sz w:val="16"/>
          <w:szCs w:val="16"/>
        </w:rPr>
        <w:t xml:space="preserve"> INTA-CIAP; </w:t>
      </w:r>
      <w:r>
        <w:rPr>
          <w:rFonts w:ascii="Arial" w:eastAsia="Arial" w:hAnsi="Arial" w:cs="Arial"/>
          <w:sz w:val="16"/>
          <w:szCs w:val="16"/>
          <w:vertAlign w:val="superscript"/>
        </w:rPr>
        <w:t xml:space="preserve">2 </w:t>
      </w:r>
      <w:r>
        <w:rPr>
          <w:rFonts w:ascii="Arial" w:eastAsia="Arial" w:hAnsi="Arial" w:cs="Arial"/>
          <w:sz w:val="16"/>
          <w:szCs w:val="16"/>
        </w:rPr>
        <w:t>IPAVE-</w:t>
      </w:r>
      <w:proofErr w:type="spellStart"/>
      <w:r>
        <w:rPr>
          <w:rFonts w:ascii="Arial" w:eastAsia="Arial" w:hAnsi="Arial" w:cs="Arial"/>
          <w:sz w:val="16"/>
          <w:szCs w:val="16"/>
        </w:rPr>
        <w:t>UFyMA</w:t>
      </w:r>
      <w:proofErr w:type="spellEnd"/>
      <w:r>
        <w:rPr>
          <w:rFonts w:ascii="Arial" w:eastAsia="Arial" w:hAnsi="Arial" w:cs="Arial"/>
          <w:sz w:val="16"/>
          <w:szCs w:val="16"/>
        </w:rPr>
        <w:t xml:space="preserve">, </w:t>
      </w:r>
      <w:r>
        <w:rPr>
          <w:rFonts w:ascii="Arial" w:eastAsia="Arial" w:hAnsi="Arial" w:cs="Arial"/>
          <w:sz w:val="16"/>
          <w:szCs w:val="16"/>
          <w:vertAlign w:val="superscript"/>
        </w:rPr>
        <w:t xml:space="preserve">3 </w:t>
      </w:r>
      <w:r>
        <w:rPr>
          <w:rFonts w:ascii="Arial" w:eastAsia="Arial" w:hAnsi="Arial" w:cs="Arial"/>
          <w:sz w:val="16"/>
          <w:szCs w:val="16"/>
        </w:rPr>
        <w:t xml:space="preserve">CONICET, </w:t>
      </w:r>
      <w:r>
        <w:rPr>
          <w:rFonts w:ascii="Arial" w:eastAsia="Arial" w:hAnsi="Arial" w:cs="Arial"/>
          <w:sz w:val="16"/>
          <w:szCs w:val="16"/>
          <w:vertAlign w:val="superscript"/>
        </w:rPr>
        <w:t xml:space="preserve">4 </w:t>
      </w:r>
      <w:r>
        <w:rPr>
          <w:rFonts w:ascii="Arial" w:eastAsia="Arial" w:hAnsi="Arial" w:cs="Arial"/>
          <w:sz w:val="16"/>
          <w:szCs w:val="16"/>
        </w:rPr>
        <w:t xml:space="preserve">IFRGV-UDEA, </w:t>
      </w:r>
      <w:r>
        <w:rPr>
          <w:rFonts w:ascii="Arial" w:eastAsia="Arial" w:hAnsi="Arial" w:cs="Arial"/>
          <w:sz w:val="16"/>
          <w:szCs w:val="16"/>
          <w:vertAlign w:val="superscript"/>
        </w:rPr>
        <w:t xml:space="preserve">5 </w:t>
      </w:r>
      <w:r>
        <w:rPr>
          <w:rFonts w:ascii="Arial" w:eastAsia="Arial" w:hAnsi="Arial" w:cs="Arial"/>
          <w:sz w:val="16"/>
          <w:szCs w:val="16"/>
        </w:rPr>
        <w:t xml:space="preserve">INTA EEA Pergamino, </w:t>
      </w:r>
      <w:r>
        <w:rPr>
          <w:rFonts w:ascii="Arial" w:eastAsia="Arial" w:hAnsi="Arial" w:cs="Arial"/>
          <w:sz w:val="16"/>
          <w:szCs w:val="16"/>
          <w:vertAlign w:val="superscript"/>
        </w:rPr>
        <w:t xml:space="preserve">6 </w:t>
      </w:r>
      <w:proofErr w:type="spellStart"/>
      <w:r>
        <w:rPr>
          <w:rFonts w:ascii="Arial" w:eastAsia="Arial" w:hAnsi="Arial" w:cs="Arial"/>
          <w:sz w:val="16"/>
          <w:szCs w:val="16"/>
        </w:rPr>
        <w:t>CITeQ</w:t>
      </w:r>
      <w:proofErr w:type="spellEnd"/>
      <w:r>
        <w:rPr>
          <w:rFonts w:ascii="Arial" w:eastAsia="Arial" w:hAnsi="Arial" w:cs="Arial"/>
          <w:sz w:val="16"/>
          <w:szCs w:val="16"/>
        </w:rPr>
        <w:t xml:space="preserve">-UTN, </w:t>
      </w:r>
      <w:r>
        <w:rPr>
          <w:rFonts w:ascii="Arial" w:eastAsia="Arial" w:hAnsi="Arial" w:cs="Arial"/>
          <w:sz w:val="16"/>
          <w:szCs w:val="16"/>
          <w:vertAlign w:val="superscript"/>
        </w:rPr>
        <w:t xml:space="preserve">7 </w:t>
      </w:r>
      <w:r>
        <w:rPr>
          <w:rFonts w:ascii="Arial" w:eastAsia="Arial" w:hAnsi="Arial" w:cs="Arial"/>
          <w:sz w:val="16"/>
          <w:szCs w:val="16"/>
        </w:rPr>
        <w:t xml:space="preserve">IMBIV-ICTA-UNC. </w:t>
      </w:r>
      <w:r>
        <w:rPr>
          <w:rFonts w:ascii="Arial" w:eastAsia="Arial" w:hAnsi="Arial" w:cs="Arial"/>
          <w:sz w:val="16"/>
          <w:szCs w:val="16"/>
          <w:vertAlign w:val="superscript"/>
        </w:rPr>
        <w:t>*</w:t>
      </w:r>
      <w:r>
        <w:rPr>
          <w:rFonts w:ascii="Arial" w:eastAsia="Arial" w:hAnsi="Arial" w:cs="Arial"/>
          <w:sz w:val="16"/>
          <w:szCs w:val="16"/>
        </w:rPr>
        <w:t>serri.dannae@inta.gob.ar</w:t>
      </w:r>
    </w:p>
    <w:p w:rsidR="005F531F" w:rsidRDefault="00D411AC">
      <w:pPr>
        <w:spacing w:after="0" w:line="240" w:lineRule="auto"/>
        <w:jc w:val="both"/>
        <w:rPr>
          <w:rFonts w:ascii="Arial" w:eastAsia="Arial" w:hAnsi="Arial" w:cs="Arial"/>
          <w:b/>
          <w:sz w:val="20"/>
          <w:szCs w:val="20"/>
        </w:rPr>
      </w:pPr>
      <w:r>
        <w:rPr>
          <w:rFonts w:ascii="Arial" w:eastAsia="Arial" w:hAnsi="Arial" w:cs="Arial"/>
          <w:b/>
          <w:sz w:val="20"/>
          <w:szCs w:val="20"/>
        </w:rPr>
        <w:t>Introducción</w:t>
      </w:r>
    </w:p>
    <w:p w:rsidR="005F531F" w:rsidRDefault="00D411AC">
      <w:pPr>
        <w:spacing w:after="0" w:line="240" w:lineRule="auto"/>
        <w:jc w:val="both"/>
        <w:rPr>
          <w:rFonts w:ascii="Arial" w:eastAsia="Arial" w:hAnsi="Arial" w:cs="Arial"/>
          <w:sz w:val="20"/>
          <w:szCs w:val="20"/>
        </w:rPr>
      </w:pPr>
      <w:r>
        <w:rPr>
          <w:rFonts w:ascii="Arial" w:eastAsia="Arial" w:hAnsi="Arial" w:cs="Arial"/>
          <w:sz w:val="20"/>
          <w:szCs w:val="20"/>
        </w:rPr>
        <w:t>Dada la importancia del maní (</w:t>
      </w:r>
      <w:proofErr w:type="spellStart"/>
      <w:r>
        <w:rPr>
          <w:rFonts w:ascii="Arial" w:eastAsia="Arial" w:hAnsi="Arial" w:cs="Arial"/>
          <w:i/>
          <w:sz w:val="20"/>
          <w:szCs w:val="20"/>
        </w:rPr>
        <w:t>Arachis</w:t>
      </w:r>
      <w:proofErr w:type="spellEnd"/>
      <w:r>
        <w:rPr>
          <w:rFonts w:ascii="Arial" w:eastAsia="Arial" w:hAnsi="Arial" w:cs="Arial"/>
          <w:i/>
          <w:sz w:val="20"/>
          <w:szCs w:val="20"/>
        </w:rPr>
        <w:t xml:space="preserve"> </w:t>
      </w:r>
      <w:proofErr w:type="spellStart"/>
      <w:r>
        <w:rPr>
          <w:rFonts w:ascii="Arial" w:eastAsia="Arial" w:hAnsi="Arial" w:cs="Arial"/>
          <w:i/>
          <w:sz w:val="20"/>
          <w:szCs w:val="20"/>
        </w:rPr>
        <w:t>hypogaea</w:t>
      </w:r>
      <w:proofErr w:type="spellEnd"/>
      <w:r>
        <w:rPr>
          <w:rFonts w:ascii="Arial" w:eastAsia="Arial" w:hAnsi="Arial" w:cs="Arial"/>
          <w:sz w:val="20"/>
          <w:szCs w:val="20"/>
        </w:rPr>
        <w:t xml:space="preserve">) para la economía de la provincia de Córdoba, surge el interés por dotar de valor agregado a los residuos que genera este sector productivo. Entre los desechos de la industrialización, la cáscara no posee un uso alternativo económicamente rentable. Actualmente, se han desarrollado unidades de generación de energía eléctrica que utilizan la biomasa de cáscara de maní. A pesar de la eficiencia del proceso, las cenizas (C) que son el subproducto que se genera, se acumulan en grandes volúmenes que no tiene destino concreto. Por otra parte, una alternativa es la producción de </w:t>
      </w:r>
      <w:proofErr w:type="spellStart"/>
      <w:r>
        <w:rPr>
          <w:rFonts w:ascii="Arial" w:eastAsia="Arial" w:hAnsi="Arial" w:cs="Arial"/>
          <w:sz w:val="20"/>
          <w:szCs w:val="20"/>
        </w:rPr>
        <w:t>biocarbón</w:t>
      </w:r>
      <w:proofErr w:type="spellEnd"/>
      <w:r>
        <w:rPr>
          <w:rFonts w:ascii="Arial" w:eastAsia="Arial" w:hAnsi="Arial" w:cs="Arial"/>
          <w:sz w:val="20"/>
          <w:szCs w:val="20"/>
        </w:rPr>
        <w:t xml:space="preserve"> (BC), material producido por la </w:t>
      </w:r>
      <w:proofErr w:type="spellStart"/>
      <w:r>
        <w:rPr>
          <w:rFonts w:ascii="Arial" w:eastAsia="Arial" w:hAnsi="Arial" w:cs="Arial"/>
          <w:sz w:val="20"/>
          <w:szCs w:val="20"/>
        </w:rPr>
        <w:t>pirólisis</w:t>
      </w:r>
      <w:proofErr w:type="spellEnd"/>
      <w:r>
        <w:rPr>
          <w:rFonts w:ascii="Arial" w:eastAsia="Arial" w:hAnsi="Arial" w:cs="Arial"/>
          <w:sz w:val="20"/>
          <w:szCs w:val="20"/>
        </w:rPr>
        <w:t xml:space="preserve"> de biomasa con la finalidad de ser utilizado como enmienda de suelos.</w:t>
      </w:r>
      <w:r>
        <w:t xml:space="preserve"> </w:t>
      </w:r>
      <w:r>
        <w:rPr>
          <w:rFonts w:ascii="Arial" w:eastAsia="Arial" w:hAnsi="Arial" w:cs="Arial"/>
          <w:sz w:val="20"/>
          <w:szCs w:val="20"/>
        </w:rPr>
        <w:t xml:space="preserve">Su aplicación ha registrado aumento de la fertilidad e intercambio catiónico en suelos pobres en materia orgánica, retención de agua y nutrientes, y mejora del pH en suelos ácidos. A su vez, ha demostrado ser promisorio en la supresión de enfermedades por diversos mecanismos, inducción de resistencia sistémica, aumento de la abundancia y/o actividad de microorganismos benéficos, efecto </w:t>
      </w:r>
      <w:proofErr w:type="spellStart"/>
      <w:r>
        <w:rPr>
          <w:rFonts w:ascii="Arial" w:eastAsia="Arial" w:hAnsi="Arial" w:cs="Arial"/>
          <w:sz w:val="20"/>
          <w:szCs w:val="20"/>
        </w:rPr>
        <w:t>fungitóxico</w:t>
      </w:r>
      <w:proofErr w:type="spellEnd"/>
      <w:r>
        <w:rPr>
          <w:rFonts w:ascii="Arial" w:eastAsia="Arial" w:hAnsi="Arial" w:cs="Arial"/>
          <w:sz w:val="20"/>
          <w:szCs w:val="20"/>
        </w:rPr>
        <w:t xml:space="preserve"> por sus componentes químicos y/o por su estructura porosa que provee un hábitat que propicia el incremento de la </w:t>
      </w:r>
      <w:proofErr w:type="spellStart"/>
      <w:r>
        <w:rPr>
          <w:rFonts w:ascii="Arial" w:eastAsia="Arial" w:hAnsi="Arial" w:cs="Arial"/>
          <w:sz w:val="20"/>
          <w:szCs w:val="20"/>
        </w:rPr>
        <w:t>microbiota</w:t>
      </w:r>
      <w:proofErr w:type="spellEnd"/>
      <w:r>
        <w:rPr>
          <w:rFonts w:ascii="Arial" w:eastAsia="Arial" w:hAnsi="Arial" w:cs="Arial"/>
          <w:sz w:val="20"/>
          <w:szCs w:val="20"/>
        </w:rPr>
        <w:t xml:space="preserve"> nativa. Dado que el cultivo de maní se vio afectado en la última década por el carbón del maní (</w:t>
      </w:r>
      <w:proofErr w:type="spellStart"/>
      <w:r>
        <w:rPr>
          <w:rFonts w:ascii="Arial" w:eastAsia="Arial" w:hAnsi="Arial" w:cs="Arial"/>
          <w:i/>
          <w:sz w:val="20"/>
          <w:szCs w:val="20"/>
        </w:rPr>
        <w:t>Thecaphora</w:t>
      </w:r>
      <w:proofErr w:type="spellEnd"/>
      <w:r>
        <w:rPr>
          <w:rFonts w:ascii="Arial" w:eastAsia="Arial" w:hAnsi="Arial" w:cs="Arial"/>
          <w:i/>
          <w:sz w:val="20"/>
          <w:szCs w:val="20"/>
        </w:rPr>
        <w:t xml:space="preserve"> </w:t>
      </w:r>
      <w:proofErr w:type="spellStart"/>
      <w:r>
        <w:rPr>
          <w:rFonts w:ascii="Arial" w:eastAsia="Arial" w:hAnsi="Arial" w:cs="Arial"/>
          <w:i/>
          <w:sz w:val="20"/>
          <w:szCs w:val="20"/>
        </w:rPr>
        <w:t>frezii</w:t>
      </w:r>
      <w:proofErr w:type="spellEnd"/>
      <w:r>
        <w:rPr>
          <w:rFonts w:ascii="Arial" w:eastAsia="Arial" w:hAnsi="Arial" w:cs="Arial"/>
          <w:sz w:val="20"/>
          <w:szCs w:val="20"/>
        </w:rPr>
        <w:t xml:space="preserve">), siendo la </w:t>
      </w:r>
      <w:proofErr w:type="gramStart"/>
      <w:r>
        <w:rPr>
          <w:rFonts w:ascii="Arial" w:eastAsia="Arial" w:hAnsi="Arial" w:cs="Arial"/>
          <w:sz w:val="20"/>
          <w:szCs w:val="20"/>
        </w:rPr>
        <w:t>enfermedad</w:t>
      </w:r>
      <w:proofErr w:type="gramEnd"/>
      <w:r>
        <w:rPr>
          <w:rFonts w:ascii="Arial" w:eastAsia="Arial" w:hAnsi="Arial" w:cs="Arial"/>
          <w:sz w:val="20"/>
          <w:szCs w:val="20"/>
        </w:rPr>
        <w:t xml:space="preserve"> del </w:t>
      </w:r>
      <w:proofErr w:type="spellStart"/>
      <w:r>
        <w:rPr>
          <w:rFonts w:ascii="Arial" w:eastAsia="Arial" w:hAnsi="Arial" w:cs="Arial"/>
          <w:sz w:val="20"/>
          <w:szCs w:val="20"/>
        </w:rPr>
        <w:t>rizoplano</w:t>
      </w:r>
      <w:proofErr w:type="spellEnd"/>
      <w:r>
        <w:rPr>
          <w:rFonts w:ascii="Arial" w:eastAsia="Arial" w:hAnsi="Arial" w:cs="Arial"/>
          <w:sz w:val="20"/>
          <w:szCs w:val="20"/>
        </w:rPr>
        <w:t xml:space="preserve"> de mayor prevalencia e intensidad, una opción para prevenirla es actuar sobre el suelo, con la finalidad de inactivar al patógeno.</w:t>
      </w:r>
      <w:r>
        <w:t xml:space="preserve"> </w:t>
      </w:r>
      <w:r>
        <w:rPr>
          <w:rFonts w:ascii="Arial" w:eastAsia="Arial" w:hAnsi="Arial" w:cs="Arial"/>
          <w:sz w:val="20"/>
          <w:szCs w:val="20"/>
        </w:rPr>
        <w:t>En este sentido, la aplicación de C o BC obtenidos a través del tratamiento de cáscaras de maní, podrían ser estrategias promisorias en la reducción de la incidencia de carbón del maní potenciando las aplicaciones de estos subproductos. El objetivo fue evaluar el efecto de C y BC en la actividad microbiana edáfica, parámetros fisiológicos y de respuesta al carbón del maní.</w:t>
      </w:r>
    </w:p>
    <w:p w:rsidR="005F531F" w:rsidRDefault="00D411AC">
      <w:pPr>
        <w:spacing w:after="0" w:line="240" w:lineRule="auto"/>
        <w:jc w:val="both"/>
        <w:rPr>
          <w:rFonts w:ascii="Arial" w:eastAsia="Arial" w:hAnsi="Arial" w:cs="Arial"/>
          <w:b/>
          <w:sz w:val="20"/>
          <w:szCs w:val="20"/>
        </w:rPr>
      </w:pPr>
      <w:r>
        <w:rPr>
          <w:rFonts w:ascii="Arial" w:eastAsia="Arial" w:hAnsi="Arial" w:cs="Arial"/>
          <w:b/>
          <w:sz w:val="20"/>
          <w:szCs w:val="20"/>
        </w:rPr>
        <w:t>Materiales y métodos</w:t>
      </w:r>
    </w:p>
    <w:p w:rsidR="005F531F" w:rsidRDefault="00D411AC">
      <w:pPr>
        <w:spacing w:after="0" w:line="240" w:lineRule="auto"/>
        <w:jc w:val="both"/>
        <w:rPr>
          <w:rFonts w:ascii="Arial" w:eastAsia="Arial" w:hAnsi="Arial" w:cs="Arial"/>
          <w:sz w:val="20"/>
          <w:szCs w:val="20"/>
        </w:rPr>
      </w:pPr>
      <w:r>
        <w:rPr>
          <w:rFonts w:ascii="Arial" w:eastAsia="Arial" w:hAnsi="Arial" w:cs="Arial"/>
          <w:sz w:val="20"/>
          <w:szCs w:val="20"/>
        </w:rPr>
        <w:t xml:space="preserve">Suelo de un lote con cultivo de maní perteneciente a Aceitera General </w:t>
      </w:r>
      <w:proofErr w:type="spellStart"/>
      <w:r>
        <w:rPr>
          <w:rFonts w:ascii="Arial" w:eastAsia="Arial" w:hAnsi="Arial" w:cs="Arial"/>
          <w:sz w:val="20"/>
          <w:szCs w:val="20"/>
        </w:rPr>
        <w:t>Deheza</w:t>
      </w:r>
      <w:proofErr w:type="spellEnd"/>
      <w:r>
        <w:rPr>
          <w:rFonts w:ascii="Arial" w:eastAsia="Arial" w:hAnsi="Arial" w:cs="Arial"/>
          <w:sz w:val="20"/>
          <w:szCs w:val="20"/>
        </w:rPr>
        <w:t xml:space="preserve"> (AGD), con antecedentes de la enfermedad se colocó en macetas, junto a las dosis de C </w:t>
      </w:r>
      <w:proofErr w:type="spellStart"/>
      <w:r>
        <w:rPr>
          <w:rFonts w:ascii="Arial" w:eastAsia="Arial" w:hAnsi="Arial" w:cs="Arial"/>
          <w:sz w:val="20"/>
          <w:szCs w:val="20"/>
        </w:rPr>
        <w:t>ó</w:t>
      </w:r>
      <w:proofErr w:type="spellEnd"/>
      <w:r>
        <w:rPr>
          <w:rFonts w:ascii="Arial" w:eastAsia="Arial" w:hAnsi="Arial" w:cs="Arial"/>
          <w:sz w:val="20"/>
          <w:szCs w:val="20"/>
        </w:rPr>
        <w:t xml:space="preserve"> BC y semillas de maní cv.</w:t>
      </w:r>
      <w:r>
        <w:t xml:space="preserve"> </w:t>
      </w:r>
      <w:proofErr w:type="spellStart"/>
      <w:r>
        <w:rPr>
          <w:rFonts w:ascii="Arial" w:eastAsia="Arial" w:hAnsi="Arial" w:cs="Arial"/>
          <w:sz w:val="20"/>
          <w:szCs w:val="20"/>
        </w:rPr>
        <w:t>Granoleico</w:t>
      </w:r>
      <w:proofErr w:type="spellEnd"/>
      <w:r>
        <w:rPr>
          <w:rFonts w:ascii="Arial" w:eastAsia="Arial" w:hAnsi="Arial" w:cs="Arial"/>
          <w:sz w:val="20"/>
          <w:szCs w:val="20"/>
        </w:rPr>
        <w:t xml:space="preserve">. Los tratamientos fueron: Testigo (T), C (1 y 3%) y BC (1 y 3%), y se inocularon para alcanzar 10.000 esporas/g. La C fue recolectada de una caldera industrial de AGD y el BC fue elaborado por pirolisis lenta en horno </w:t>
      </w:r>
      <w:proofErr w:type="spellStart"/>
      <w:r>
        <w:rPr>
          <w:rFonts w:ascii="Arial" w:eastAsia="Arial" w:hAnsi="Arial" w:cs="Arial"/>
          <w:sz w:val="20"/>
          <w:szCs w:val="20"/>
        </w:rPr>
        <w:t>termostatizado</w:t>
      </w:r>
      <w:proofErr w:type="spellEnd"/>
      <w:r>
        <w:rPr>
          <w:rFonts w:ascii="Arial" w:eastAsia="Arial" w:hAnsi="Arial" w:cs="Arial"/>
          <w:sz w:val="20"/>
          <w:szCs w:val="20"/>
        </w:rPr>
        <w:t xml:space="preserve"> en una atmósfera reducida en oxígeno, incremento de </w:t>
      </w:r>
      <w:proofErr w:type="spellStart"/>
      <w:r>
        <w:rPr>
          <w:rFonts w:ascii="Arial" w:eastAsia="Arial" w:hAnsi="Arial" w:cs="Arial"/>
          <w:sz w:val="20"/>
          <w:szCs w:val="20"/>
        </w:rPr>
        <w:t>Tº</w:t>
      </w:r>
      <w:proofErr w:type="spellEnd"/>
      <w:r>
        <w:rPr>
          <w:rFonts w:ascii="Arial" w:eastAsia="Arial" w:hAnsi="Arial" w:cs="Arial"/>
          <w:sz w:val="20"/>
          <w:szCs w:val="20"/>
        </w:rPr>
        <w:t xml:space="preserve"> de 10ºC/min hasta alcanzar los 450ºC, donde se mantuvo por 1 hora. Los contenidos de nitrógeno (N) y carbono (C) de los subproductos fueron, en C: 0,15 %N y 2,18 %C, y en BC: 2,52 %N y 68,85 %C. Luego de 40 días de incorporadas las enmiendas se tomaron muestras de suelo, donde se evaluó actividad enzimática global (FDA), y en planta se midió rendimiento cuántico máximo (</w:t>
      </w:r>
      <w:proofErr w:type="spellStart"/>
      <w:r>
        <w:rPr>
          <w:rFonts w:ascii="Arial" w:eastAsia="Arial" w:hAnsi="Arial" w:cs="Arial"/>
          <w:sz w:val="20"/>
          <w:szCs w:val="20"/>
        </w:rPr>
        <w:t>Fv</w:t>
      </w:r>
      <w:proofErr w:type="spellEnd"/>
      <w:r>
        <w:rPr>
          <w:rFonts w:ascii="Arial" w:eastAsia="Arial" w:hAnsi="Arial" w:cs="Arial"/>
          <w:sz w:val="20"/>
          <w:szCs w:val="20"/>
        </w:rPr>
        <w:t xml:space="preserve">/Fm) y superficie foliar. Cosechado el cultivo, se evaluó peso fresco (PF) y seco (PS) aéreo, el % de vainas enfermas (%VE) y peso de granos sanos (PG). Se realizó análisis de la varianza y test de </w:t>
      </w:r>
      <w:proofErr w:type="spellStart"/>
      <w:r>
        <w:rPr>
          <w:rFonts w:ascii="Arial" w:eastAsia="Arial" w:hAnsi="Arial" w:cs="Arial"/>
          <w:sz w:val="20"/>
          <w:szCs w:val="20"/>
        </w:rPr>
        <w:t>Tukey</w:t>
      </w:r>
      <w:proofErr w:type="spellEnd"/>
      <w:r>
        <w:rPr>
          <w:rFonts w:ascii="Arial" w:eastAsia="Arial" w:hAnsi="Arial" w:cs="Arial"/>
          <w:sz w:val="20"/>
          <w:szCs w:val="20"/>
        </w:rPr>
        <w:t xml:space="preserve"> (</w:t>
      </w:r>
      <w:r>
        <w:rPr>
          <w:rFonts w:ascii="Arial" w:eastAsia="Arial" w:hAnsi="Arial" w:cs="Arial"/>
          <w:i/>
          <w:sz w:val="20"/>
          <w:szCs w:val="20"/>
        </w:rPr>
        <w:t>p&lt;0,05</w:t>
      </w:r>
      <w:r>
        <w:rPr>
          <w:rFonts w:ascii="Arial" w:eastAsia="Arial" w:hAnsi="Arial" w:cs="Arial"/>
          <w:sz w:val="20"/>
          <w:szCs w:val="20"/>
        </w:rPr>
        <w:t>) para la comparación de medias.</w:t>
      </w:r>
    </w:p>
    <w:p w:rsidR="005F531F" w:rsidRDefault="00D411AC">
      <w:pPr>
        <w:spacing w:after="0" w:line="240" w:lineRule="auto"/>
        <w:jc w:val="both"/>
        <w:rPr>
          <w:rFonts w:ascii="Arial" w:eastAsia="Arial" w:hAnsi="Arial" w:cs="Arial"/>
          <w:b/>
          <w:sz w:val="20"/>
          <w:szCs w:val="20"/>
        </w:rPr>
      </w:pPr>
      <w:r>
        <w:rPr>
          <w:rFonts w:ascii="Arial" w:eastAsia="Arial" w:hAnsi="Arial" w:cs="Arial"/>
          <w:b/>
          <w:sz w:val="20"/>
          <w:szCs w:val="20"/>
        </w:rPr>
        <w:t>Resultados</w:t>
      </w:r>
    </w:p>
    <w:p w:rsidR="005F531F" w:rsidRDefault="00D411AC">
      <w:pPr>
        <w:spacing w:after="0" w:line="240" w:lineRule="auto"/>
        <w:jc w:val="both"/>
        <w:rPr>
          <w:rFonts w:ascii="Arial" w:eastAsia="Arial" w:hAnsi="Arial" w:cs="Arial"/>
          <w:sz w:val="20"/>
          <w:szCs w:val="20"/>
        </w:rPr>
      </w:pPr>
      <w:r>
        <w:rPr>
          <w:rFonts w:ascii="Arial" w:eastAsia="Arial" w:hAnsi="Arial" w:cs="Arial"/>
          <w:sz w:val="20"/>
          <w:szCs w:val="20"/>
        </w:rPr>
        <w:t xml:space="preserve">La actividad FDA se vio significativamente incrementada al aplicar BC, respecto de C y T (Fig.1A), independientemente de la dosis utilizada. Por su parte, </w:t>
      </w:r>
      <w:proofErr w:type="spellStart"/>
      <w:r>
        <w:rPr>
          <w:rFonts w:ascii="Arial" w:eastAsia="Arial" w:hAnsi="Arial" w:cs="Arial"/>
          <w:sz w:val="20"/>
          <w:szCs w:val="20"/>
        </w:rPr>
        <w:t>Fv</w:t>
      </w:r>
      <w:proofErr w:type="spellEnd"/>
      <w:r>
        <w:rPr>
          <w:rFonts w:ascii="Arial" w:eastAsia="Arial" w:hAnsi="Arial" w:cs="Arial"/>
          <w:sz w:val="20"/>
          <w:szCs w:val="20"/>
        </w:rPr>
        <w:t xml:space="preserve">/Fm no registró diferencias entre los tratamientos. La superficie foliar disminuyó significativamente en C3, seguida por BC3 (Fig.1B), mientras que el peso aéreo (PF y PS) no registró diferencias entre los tratamientos evaluados. En relación al manejo del carbón del maní, el %VE registró en T un 19% más respecto de BC3, sin embargo las diferencias no fueron significativas entre los tratamientos (Fig.1C). Los mayores valores de PG se observaron para BC1, mientras que los menores se observaron en T, siendo esta la diferencia más significativa (Fig.1D). Este primer estudio demuestra que la aplicación de enmiendas es capaz de modificar la actividad microbiana del suelo y tiene efectos promisorios en </w:t>
      </w:r>
      <w:proofErr w:type="spellStart"/>
      <w:r>
        <w:rPr>
          <w:rFonts w:ascii="Arial" w:eastAsia="Arial" w:hAnsi="Arial" w:cs="Arial"/>
          <w:sz w:val="20"/>
          <w:szCs w:val="20"/>
        </w:rPr>
        <w:t>en</w:t>
      </w:r>
      <w:proofErr w:type="spellEnd"/>
      <w:r>
        <w:rPr>
          <w:rFonts w:ascii="Arial" w:eastAsia="Arial" w:hAnsi="Arial" w:cs="Arial"/>
          <w:sz w:val="20"/>
          <w:szCs w:val="20"/>
        </w:rPr>
        <w:t xml:space="preserve"> el manejo del carbón del maní.</w:t>
      </w:r>
    </w:p>
    <w:p w:rsidR="005F531F" w:rsidRDefault="00D411AC">
      <w:pPr>
        <w:spacing w:after="0" w:line="240" w:lineRule="auto"/>
        <w:jc w:val="both"/>
        <w:rPr>
          <w:rFonts w:ascii="Arial" w:eastAsia="Arial" w:hAnsi="Arial" w:cs="Arial"/>
          <w:sz w:val="20"/>
          <w:szCs w:val="20"/>
        </w:rPr>
      </w:pPr>
      <w:r>
        <w:rPr>
          <w:rFonts w:ascii="Arial" w:eastAsia="Arial" w:hAnsi="Arial" w:cs="Arial"/>
          <w:noProof/>
          <w:sz w:val="20"/>
          <w:szCs w:val="20"/>
          <w:lang w:val="es-AR" w:eastAsia="es-AR"/>
        </w:rPr>
        <w:drawing>
          <wp:inline distT="114300" distB="114300" distL="114300" distR="114300">
            <wp:extent cx="6334125" cy="113728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b="11555"/>
                    <a:stretch>
                      <a:fillRect/>
                    </a:stretch>
                  </pic:blipFill>
                  <pic:spPr>
                    <a:xfrm>
                      <a:off x="0" y="0"/>
                      <a:ext cx="6334125" cy="1137285"/>
                    </a:xfrm>
                    <a:prstGeom prst="rect">
                      <a:avLst/>
                    </a:prstGeom>
                    <a:ln/>
                  </pic:spPr>
                </pic:pic>
              </a:graphicData>
            </a:graphic>
          </wp:inline>
        </w:drawing>
      </w:r>
    </w:p>
    <w:p w:rsidR="005F531F" w:rsidRDefault="00D411AC">
      <w:pPr>
        <w:widowControl w:val="0"/>
        <w:spacing w:after="0" w:line="240" w:lineRule="auto"/>
        <w:jc w:val="both"/>
        <w:rPr>
          <w:rFonts w:ascii="Arial" w:eastAsia="Arial" w:hAnsi="Arial" w:cs="Arial"/>
          <w:sz w:val="16"/>
          <w:szCs w:val="16"/>
        </w:rPr>
      </w:pPr>
      <w:bookmarkStart w:id="1" w:name="_heading=h.xjuk6mcb85dj" w:colFirst="0" w:colLast="0"/>
      <w:bookmarkEnd w:id="1"/>
      <w:r>
        <w:rPr>
          <w:rFonts w:ascii="Arial" w:eastAsia="Arial" w:hAnsi="Arial" w:cs="Arial"/>
          <w:b/>
          <w:sz w:val="16"/>
          <w:szCs w:val="16"/>
        </w:rPr>
        <w:t xml:space="preserve">Figura 1. </w:t>
      </w:r>
      <w:r>
        <w:rPr>
          <w:rFonts w:ascii="Arial" w:eastAsia="Arial" w:hAnsi="Arial" w:cs="Arial"/>
          <w:sz w:val="16"/>
          <w:szCs w:val="16"/>
        </w:rPr>
        <w:t xml:space="preserve">Actividad microbiana, parámetros fisiológicos y de respuesta al carbón del maní, por la aplicación de ceniza (C) y </w:t>
      </w:r>
      <w:proofErr w:type="spellStart"/>
      <w:r>
        <w:rPr>
          <w:rFonts w:ascii="Arial" w:eastAsia="Arial" w:hAnsi="Arial" w:cs="Arial"/>
          <w:sz w:val="16"/>
          <w:szCs w:val="16"/>
        </w:rPr>
        <w:t>biocarbón</w:t>
      </w:r>
      <w:proofErr w:type="spellEnd"/>
      <w:r>
        <w:rPr>
          <w:rFonts w:ascii="Arial" w:eastAsia="Arial" w:hAnsi="Arial" w:cs="Arial"/>
          <w:sz w:val="16"/>
          <w:szCs w:val="16"/>
        </w:rPr>
        <w:t xml:space="preserve"> (BC) al 1 y 3%. Letras distintas indican diferencias estadísticas significativas (</w:t>
      </w:r>
      <w:r>
        <w:rPr>
          <w:rFonts w:ascii="Arial" w:eastAsia="Arial" w:hAnsi="Arial" w:cs="Arial"/>
          <w:i/>
          <w:sz w:val="16"/>
          <w:szCs w:val="16"/>
        </w:rPr>
        <w:t>p&lt;0,05</w:t>
      </w:r>
      <w:r>
        <w:rPr>
          <w:rFonts w:ascii="Arial" w:eastAsia="Arial" w:hAnsi="Arial" w:cs="Arial"/>
          <w:sz w:val="16"/>
          <w:szCs w:val="16"/>
        </w:rPr>
        <w:t>).</w:t>
      </w:r>
    </w:p>
    <w:p w:rsidR="005F531F" w:rsidRDefault="00D411AC">
      <w:pPr>
        <w:widowControl w:val="0"/>
        <w:spacing w:after="0" w:line="240" w:lineRule="auto"/>
        <w:jc w:val="both"/>
        <w:rPr>
          <w:rFonts w:ascii="Arial" w:eastAsia="Arial" w:hAnsi="Arial" w:cs="Arial"/>
          <w:i/>
          <w:sz w:val="16"/>
          <w:szCs w:val="16"/>
        </w:rPr>
      </w:pPr>
      <w:bookmarkStart w:id="2" w:name="_heading=h.dyo61kurss7n" w:colFirst="0" w:colLast="0"/>
      <w:bookmarkEnd w:id="2"/>
      <w:r>
        <w:rPr>
          <w:rFonts w:ascii="Arial" w:eastAsia="Arial" w:hAnsi="Arial" w:cs="Arial"/>
          <w:i/>
          <w:sz w:val="16"/>
          <w:szCs w:val="16"/>
        </w:rPr>
        <w:t>Este trabajo fue realizado con fondos de PIODO2018, INTA PDI037, INTA PDI074,</w:t>
      </w:r>
      <w:r>
        <w:rPr>
          <w:rFonts w:ascii="Arial" w:eastAsia="Arial" w:hAnsi="Arial" w:cs="Arial"/>
          <w:sz w:val="20"/>
          <w:szCs w:val="20"/>
        </w:rPr>
        <w:t xml:space="preserve"> </w:t>
      </w:r>
      <w:r>
        <w:rPr>
          <w:rFonts w:ascii="Arial" w:eastAsia="Arial" w:hAnsi="Arial" w:cs="Arial"/>
          <w:i/>
          <w:sz w:val="16"/>
          <w:szCs w:val="16"/>
        </w:rPr>
        <w:t>PICT GRF 2018-01326, INTA PEI516.</w:t>
      </w:r>
    </w:p>
    <w:sectPr w:rsidR="005F531F">
      <w:pgSz w:w="12240" w:h="15840"/>
      <w:pgMar w:top="1134" w:right="1134" w:bottom="1134"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1F"/>
    <w:rsid w:val="002E2747"/>
    <w:rsid w:val="005F531F"/>
    <w:rsid w:val="00D411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098F9D-2506-094D-9CA6-266E7EB7C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character" w:styleId="Hipervnculo">
    <w:name w:val="Hyperlink"/>
    <w:basedOn w:val="Fuentedeprrafopredeter"/>
    <w:uiPriority w:val="99"/>
    <w:unhideWhenUsed/>
    <w:rsid w:val="00093378"/>
    <w:rPr>
      <w:color w:val="0563C1" w:themeColor="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KVoeJAZQfU2jZXV79SXQg/CkQ==">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724</Words>
  <Characters>3983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Dannae Serri</dc:creator>
  <cp:lastModifiedBy>docenteciteq</cp:lastModifiedBy>
  <cp:revision>2</cp:revision>
  <dcterms:created xsi:type="dcterms:W3CDTF">2020-11-24T21:49:00Z</dcterms:created>
  <dcterms:modified xsi:type="dcterms:W3CDTF">2020-11-24T21:49:00Z</dcterms:modified>
</cp:coreProperties>
</file>